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AB" w:rsidRPr="003F0E4A" w:rsidRDefault="003F0E4A" w:rsidP="001A4A5C">
      <w:pPr>
        <w:pStyle w:val="NoSpacing"/>
        <w:ind w:right="-708"/>
        <w:jc w:val="center"/>
        <w:rPr>
          <w:b/>
          <w:sz w:val="24"/>
          <w:szCs w:val="24"/>
          <w:u w:val="single"/>
        </w:rPr>
      </w:pPr>
      <w:r w:rsidRPr="003F0E4A">
        <w:rPr>
          <w:b/>
          <w:sz w:val="24"/>
          <w:szCs w:val="24"/>
          <w:u w:val="single"/>
        </w:rPr>
        <w:t xml:space="preserve">Hazlemere Parish Council </w:t>
      </w:r>
      <w:r w:rsidR="001A4A5C">
        <w:rPr>
          <w:b/>
          <w:sz w:val="24"/>
          <w:szCs w:val="24"/>
          <w:u w:val="single"/>
        </w:rPr>
        <w:t>Local</w:t>
      </w:r>
      <w:r w:rsidR="00411CAB" w:rsidRPr="003F0E4A">
        <w:rPr>
          <w:b/>
          <w:sz w:val="24"/>
          <w:szCs w:val="24"/>
          <w:u w:val="single"/>
        </w:rPr>
        <w:t xml:space="preserve"> Government Transparency Code Policy</w:t>
      </w:r>
    </w:p>
    <w:p w:rsidR="007969D9" w:rsidRDefault="007969D9" w:rsidP="003F0E4A">
      <w:pPr>
        <w:rPr>
          <w:rFonts w:ascii="Calibri" w:hAnsi="Calibri"/>
        </w:rPr>
      </w:pPr>
      <w:r>
        <w:rPr>
          <w:rFonts w:ascii="Calibri" w:hAnsi="Calibri"/>
        </w:rPr>
        <w:t xml:space="preserve">This policy is based on The </w:t>
      </w:r>
      <w:r w:rsidR="001A4A5C">
        <w:rPr>
          <w:rFonts w:ascii="Calibri" w:hAnsi="Calibri"/>
        </w:rPr>
        <w:t>Local</w:t>
      </w:r>
      <w:r>
        <w:rPr>
          <w:rFonts w:ascii="Calibri" w:hAnsi="Calibri"/>
        </w:rPr>
        <w:t xml:space="preserve"> Government Transparency Code 2014.</w:t>
      </w:r>
    </w:p>
    <w:p w:rsidR="007969D9" w:rsidRDefault="007969D9" w:rsidP="003F0E4A">
      <w:pPr>
        <w:rPr>
          <w:rFonts w:ascii="Calibri" w:hAnsi="Calibri"/>
        </w:rPr>
      </w:pPr>
    </w:p>
    <w:p w:rsidR="003F0E4A" w:rsidRDefault="003F0E4A" w:rsidP="003F0E4A">
      <w:pPr>
        <w:rPr>
          <w:rFonts w:ascii="Calibri" w:hAnsi="Calibri"/>
        </w:rPr>
      </w:pPr>
      <w:r w:rsidRPr="000D4E01">
        <w:rPr>
          <w:rFonts w:ascii="Calibri" w:hAnsi="Calibri"/>
        </w:rPr>
        <w:t xml:space="preserve">This </w:t>
      </w:r>
      <w:r>
        <w:rPr>
          <w:rFonts w:ascii="Calibri" w:hAnsi="Calibri"/>
        </w:rPr>
        <w:t>Policy</w:t>
      </w:r>
      <w:r w:rsidRPr="000D4E01">
        <w:rPr>
          <w:rFonts w:ascii="Calibri" w:hAnsi="Calibri"/>
        </w:rPr>
        <w:t xml:space="preserve"> </w:t>
      </w:r>
      <w:r>
        <w:rPr>
          <w:rFonts w:ascii="Calibri" w:hAnsi="Calibri"/>
        </w:rPr>
        <w:t>adopted</w:t>
      </w:r>
      <w:r w:rsidRPr="000D4E01">
        <w:rPr>
          <w:rFonts w:ascii="Calibri" w:hAnsi="Calibri"/>
        </w:rPr>
        <w:t xml:space="preserve"> by the </w:t>
      </w:r>
      <w:r>
        <w:rPr>
          <w:rFonts w:ascii="Calibri" w:hAnsi="Calibri"/>
        </w:rPr>
        <w:t xml:space="preserve">Full Council on </w:t>
      </w:r>
      <w:r w:rsidR="00967392">
        <w:rPr>
          <w:rFonts w:ascii="Calibri" w:hAnsi="Calibri"/>
        </w:rPr>
        <w:t>5 April 2022.</w:t>
      </w:r>
    </w:p>
    <w:p w:rsidR="003F0E4A" w:rsidRDefault="003F0E4A" w:rsidP="00864565">
      <w:pPr>
        <w:pStyle w:val="NoSpacing"/>
        <w:jc w:val="both"/>
        <w:rPr>
          <w:sz w:val="24"/>
          <w:szCs w:val="24"/>
        </w:rPr>
      </w:pPr>
    </w:p>
    <w:p w:rsidR="00864565" w:rsidRPr="007969D9" w:rsidRDefault="00864565" w:rsidP="00864565">
      <w:pPr>
        <w:pStyle w:val="NoSpacing"/>
        <w:jc w:val="both"/>
        <w:rPr>
          <w:b/>
          <w:sz w:val="24"/>
          <w:szCs w:val="24"/>
        </w:rPr>
      </w:pPr>
      <w:r w:rsidRPr="007969D9">
        <w:rPr>
          <w:b/>
          <w:sz w:val="24"/>
          <w:szCs w:val="24"/>
        </w:rPr>
        <w:t xml:space="preserve">Information which must be published </w:t>
      </w:r>
    </w:p>
    <w:p w:rsidR="00864565" w:rsidRPr="00864565" w:rsidRDefault="00864565" w:rsidP="00864565">
      <w:pPr>
        <w:pStyle w:val="NoSpacing"/>
        <w:jc w:val="both"/>
        <w:rPr>
          <w:sz w:val="24"/>
          <w:szCs w:val="24"/>
        </w:rPr>
      </w:pPr>
      <w:r w:rsidRPr="00864565">
        <w:rPr>
          <w:sz w:val="24"/>
          <w:szCs w:val="24"/>
        </w:rPr>
        <w:t xml:space="preserve">Information to be published quarterly </w:t>
      </w:r>
    </w:p>
    <w:p w:rsidR="00864565" w:rsidRPr="00864565" w:rsidRDefault="00864565" w:rsidP="00864565">
      <w:pPr>
        <w:pStyle w:val="NoSpacing"/>
        <w:jc w:val="both"/>
        <w:rPr>
          <w:sz w:val="24"/>
          <w:szCs w:val="24"/>
        </w:rPr>
      </w:pPr>
      <w:r w:rsidRPr="00864565">
        <w:rPr>
          <w:sz w:val="24"/>
          <w:szCs w:val="24"/>
        </w:rPr>
        <w:t xml:space="preserve">Data covered by this section includes: </w:t>
      </w:r>
    </w:p>
    <w:p w:rsidR="00864565" w:rsidRPr="00864565" w:rsidRDefault="00864565" w:rsidP="007969D9">
      <w:pPr>
        <w:pStyle w:val="NoSpacing"/>
        <w:numPr>
          <w:ilvl w:val="0"/>
          <w:numId w:val="3"/>
        </w:numPr>
        <w:jc w:val="both"/>
        <w:rPr>
          <w:sz w:val="24"/>
          <w:szCs w:val="24"/>
        </w:rPr>
      </w:pPr>
      <w:r w:rsidRPr="00864565">
        <w:rPr>
          <w:sz w:val="24"/>
          <w:szCs w:val="24"/>
        </w:rPr>
        <w:t xml:space="preserve">expenditure exceeding £500 </w:t>
      </w:r>
    </w:p>
    <w:p w:rsidR="00864565" w:rsidRPr="00864565" w:rsidRDefault="00864565" w:rsidP="007969D9">
      <w:pPr>
        <w:pStyle w:val="NoSpacing"/>
        <w:numPr>
          <w:ilvl w:val="0"/>
          <w:numId w:val="3"/>
        </w:numPr>
        <w:jc w:val="both"/>
        <w:rPr>
          <w:sz w:val="24"/>
          <w:szCs w:val="24"/>
        </w:rPr>
      </w:pPr>
      <w:r w:rsidRPr="00864565">
        <w:rPr>
          <w:sz w:val="24"/>
          <w:szCs w:val="24"/>
        </w:rPr>
        <w:t xml:space="preserve">Government Procurement Card transactions, and </w:t>
      </w:r>
    </w:p>
    <w:p w:rsidR="00864565" w:rsidRPr="00864565" w:rsidRDefault="00864565" w:rsidP="007969D9">
      <w:pPr>
        <w:pStyle w:val="NoSpacing"/>
        <w:numPr>
          <w:ilvl w:val="0"/>
          <w:numId w:val="3"/>
        </w:numPr>
        <w:jc w:val="both"/>
        <w:rPr>
          <w:sz w:val="24"/>
          <w:szCs w:val="24"/>
        </w:rPr>
      </w:pPr>
      <w:r w:rsidRPr="00864565">
        <w:rPr>
          <w:sz w:val="24"/>
          <w:szCs w:val="24"/>
        </w:rPr>
        <w:t xml:space="preserve">procurement information.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The data and information referred to must be published: </w:t>
      </w:r>
    </w:p>
    <w:p w:rsidR="00864565" w:rsidRPr="00864565" w:rsidRDefault="00864565" w:rsidP="00BA4D06">
      <w:pPr>
        <w:pStyle w:val="NoSpacing"/>
        <w:numPr>
          <w:ilvl w:val="0"/>
          <w:numId w:val="3"/>
        </w:numPr>
        <w:jc w:val="both"/>
        <w:rPr>
          <w:sz w:val="24"/>
          <w:szCs w:val="24"/>
        </w:rPr>
      </w:pPr>
      <w:r w:rsidRPr="00864565">
        <w:rPr>
          <w:sz w:val="24"/>
          <w:szCs w:val="24"/>
        </w:rPr>
        <w:t xml:space="preserve">on the first occasion, not later than 31 December 2014, and </w:t>
      </w:r>
    </w:p>
    <w:p w:rsidR="00864565" w:rsidRPr="00864565" w:rsidRDefault="00864565" w:rsidP="00BA4D06">
      <w:pPr>
        <w:pStyle w:val="NoSpacing"/>
        <w:numPr>
          <w:ilvl w:val="0"/>
          <w:numId w:val="3"/>
        </w:numPr>
        <w:jc w:val="both"/>
        <w:rPr>
          <w:sz w:val="24"/>
          <w:szCs w:val="24"/>
        </w:rPr>
      </w:pPr>
      <w:r w:rsidRPr="00864565">
        <w:rPr>
          <w:sz w:val="24"/>
          <w:szCs w:val="24"/>
        </w:rPr>
        <w:t xml:space="preserve">thereafter, not less than quarterly and not later than one month after the quarter to which the data and information is applicable.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Expenditure exceeding £500 </w:t>
      </w:r>
    </w:p>
    <w:p w:rsidR="0015066C" w:rsidRPr="00864565" w:rsidRDefault="001A4A5C" w:rsidP="0015066C">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publish details of each individual item of expenditure that exceeds £500. </w:t>
      </w:r>
      <w:r w:rsidR="0015066C" w:rsidRPr="00864565">
        <w:rPr>
          <w:sz w:val="24"/>
          <w:szCs w:val="24"/>
        </w:rPr>
        <w:t xml:space="preserve">The threshold should be, where possible, the net amount excluding recoverable Value Added Tax. Salary payments to staff normally employed by the </w:t>
      </w:r>
      <w:r>
        <w:rPr>
          <w:sz w:val="24"/>
          <w:szCs w:val="24"/>
        </w:rPr>
        <w:t>Local</w:t>
      </w:r>
      <w:r w:rsidR="0015066C" w:rsidRPr="00864565">
        <w:rPr>
          <w:sz w:val="24"/>
          <w:szCs w:val="24"/>
        </w:rPr>
        <w:t xml:space="preserve"> </w:t>
      </w:r>
      <w:r>
        <w:rPr>
          <w:sz w:val="24"/>
          <w:szCs w:val="24"/>
        </w:rPr>
        <w:t>Authority</w:t>
      </w:r>
      <w:r w:rsidR="0015066C" w:rsidRPr="00864565">
        <w:rPr>
          <w:sz w:val="24"/>
          <w:szCs w:val="24"/>
        </w:rPr>
        <w:t xml:space="preserve"> should not be included. However, </w:t>
      </w:r>
      <w:r>
        <w:rPr>
          <w:sz w:val="24"/>
          <w:szCs w:val="24"/>
        </w:rPr>
        <w:t>Local</w:t>
      </w:r>
      <w:r w:rsidR="0015066C" w:rsidRPr="00864565">
        <w:rPr>
          <w:sz w:val="24"/>
          <w:szCs w:val="24"/>
        </w:rPr>
        <w:t xml:space="preserve"> </w:t>
      </w:r>
      <w:r>
        <w:rPr>
          <w:sz w:val="24"/>
          <w:szCs w:val="24"/>
        </w:rPr>
        <w:t>Authorities</w:t>
      </w:r>
      <w:r w:rsidR="0015066C" w:rsidRPr="00864565">
        <w:rPr>
          <w:sz w:val="24"/>
          <w:szCs w:val="24"/>
        </w:rPr>
        <w:t xml:space="preserve"> should publish details of payments to individual contractors (e.g. individuals from consultancy firms, employment agencies, direct personal contracts, personal service companies etc) either here or under contract information. </w:t>
      </w:r>
    </w:p>
    <w:p w:rsidR="0015066C" w:rsidRPr="00864565" w:rsidRDefault="0015066C" w:rsidP="0015066C">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This includes items of expenditure, consistent with </w:t>
      </w:r>
      <w:r w:rsidR="001A4A5C">
        <w:rPr>
          <w:sz w:val="24"/>
          <w:szCs w:val="24"/>
        </w:rPr>
        <w:t>Local</w:t>
      </w:r>
      <w:r w:rsidRPr="00864565">
        <w:rPr>
          <w:sz w:val="24"/>
          <w:szCs w:val="24"/>
        </w:rPr>
        <w:t xml:space="preserve"> Government Association guidance, such as: </w:t>
      </w:r>
    </w:p>
    <w:p w:rsidR="00864565" w:rsidRPr="00864565" w:rsidRDefault="00864565" w:rsidP="00BA4D06">
      <w:pPr>
        <w:pStyle w:val="NoSpacing"/>
        <w:numPr>
          <w:ilvl w:val="0"/>
          <w:numId w:val="3"/>
        </w:numPr>
        <w:jc w:val="both"/>
        <w:rPr>
          <w:sz w:val="24"/>
          <w:szCs w:val="24"/>
        </w:rPr>
      </w:pPr>
      <w:r w:rsidRPr="00864565">
        <w:rPr>
          <w:sz w:val="24"/>
          <w:szCs w:val="24"/>
        </w:rPr>
        <w:t xml:space="preserve">individual invoices </w:t>
      </w:r>
    </w:p>
    <w:p w:rsidR="00864565" w:rsidRPr="00864565" w:rsidRDefault="00864565" w:rsidP="00BA4D06">
      <w:pPr>
        <w:pStyle w:val="NoSpacing"/>
        <w:numPr>
          <w:ilvl w:val="0"/>
          <w:numId w:val="3"/>
        </w:numPr>
        <w:jc w:val="both"/>
        <w:rPr>
          <w:sz w:val="24"/>
          <w:szCs w:val="24"/>
        </w:rPr>
      </w:pPr>
      <w:r w:rsidRPr="00864565">
        <w:rPr>
          <w:sz w:val="24"/>
          <w:szCs w:val="24"/>
        </w:rPr>
        <w:t xml:space="preserve">grant payments </w:t>
      </w:r>
    </w:p>
    <w:p w:rsidR="00864565" w:rsidRPr="00864565" w:rsidRDefault="00864565" w:rsidP="00BA4D06">
      <w:pPr>
        <w:pStyle w:val="NoSpacing"/>
        <w:numPr>
          <w:ilvl w:val="0"/>
          <w:numId w:val="3"/>
        </w:numPr>
        <w:jc w:val="both"/>
        <w:rPr>
          <w:sz w:val="24"/>
          <w:szCs w:val="24"/>
        </w:rPr>
      </w:pPr>
      <w:r w:rsidRPr="00864565">
        <w:rPr>
          <w:sz w:val="24"/>
          <w:szCs w:val="24"/>
        </w:rPr>
        <w:t xml:space="preserve">expense payments </w:t>
      </w:r>
    </w:p>
    <w:p w:rsidR="00864565" w:rsidRPr="00864565" w:rsidRDefault="00864565" w:rsidP="00BA4D06">
      <w:pPr>
        <w:pStyle w:val="NoSpacing"/>
        <w:numPr>
          <w:ilvl w:val="0"/>
          <w:numId w:val="3"/>
        </w:numPr>
        <w:jc w:val="both"/>
        <w:rPr>
          <w:sz w:val="24"/>
          <w:szCs w:val="24"/>
        </w:rPr>
      </w:pPr>
      <w:r w:rsidRPr="00864565">
        <w:rPr>
          <w:sz w:val="24"/>
          <w:szCs w:val="24"/>
        </w:rPr>
        <w:t xml:space="preserve">payments for goods and services </w:t>
      </w:r>
    </w:p>
    <w:p w:rsidR="00864565" w:rsidRPr="00864565" w:rsidRDefault="00864565" w:rsidP="00BA4D06">
      <w:pPr>
        <w:pStyle w:val="NoSpacing"/>
        <w:numPr>
          <w:ilvl w:val="0"/>
          <w:numId w:val="3"/>
        </w:numPr>
        <w:jc w:val="both"/>
        <w:rPr>
          <w:sz w:val="24"/>
          <w:szCs w:val="24"/>
        </w:rPr>
      </w:pPr>
      <w:r w:rsidRPr="00864565">
        <w:rPr>
          <w:sz w:val="24"/>
          <w:szCs w:val="24"/>
        </w:rPr>
        <w:t xml:space="preserve">grants </w:t>
      </w:r>
    </w:p>
    <w:p w:rsidR="00864565" w:rsidRPr="00864565" w:rsidRDefault="00864565" w:rsidP="00BA4D06">
      <w:pPr>
        <w:pStyle w:val="NoSpacing"/>
        <w:numPr>
          <w:ilvl w:val="0"/>
          <w:numId w:val="3"/>
        </w:numPr>
        <w:jc w:val="both"/>
        <w:rPr>
          <w:sz w:val="24"/>
          <w:szCs w:val="24"/>
        </w:rPr>
      </w:pPr>
      <w:r w:rsidRPr="00864565">
        <w:rPr>
          <w:sz w:val="24"/>
          <w:szCs w:val="24"/>
        </w:rPr>
        <w:t xml:space="preserve">grant in aid </w:t>
      </w:r>
    </w:p>
    <w:p w:rsidR="00864565" w:rsidRPr="00864565" w:rsidRDefault="00864565" w:rsidP="00BA4D06">
      <w:pPr>
        <w:pStyle w:val="NoSpacing"/>
        <w:numPr>
          <w:ilvl w:val="0"/>
          <w:numId w:val="3"/>
        </w:numPr>
        <w:jc w:val="both"/>
        <w:rPr>
          <w:sz w:val="24"/>
          <w:szCs w:val="24"/>
        </w:rPr>
      </w:pPr>
      <w:r w:rsidRPr="00864565">
        <w:rPr>
          <w:sz w:val="24"/>
          <w:szCs w:val="24"/>
        </w:rPr>
        <w:t xml:space="preserve">rent </w:t>
      </w:r>
    </w:p>
    <w:p w:rsidR="00864565" w:rsidRPr="00864565" w:rsidRDefault="00864565" w:rsidP="00BA4D06">
      <w:pPr>
        <w:pStyle w:val="NoSpacing"/>
        <w:numPr>
          <w:ilvl w:val="0"/>
          <w:numId w:val="3"/>
        </w:numPr>
        <w:jc w:val="both"/>
        <w:rPr>
          <w:sz w:val="24"/>
          <w:szCs w:val="24"/>
        </w:rPr>
      </w:pPr>
      <w:r w:rsidRPr="00864565">
        <w:rPr>
          <w:sz w:val="24"/>
          <w:szCs w:val="24"/>
        </w:rPr>
        <w:t xml:space="preserve">credit notes over £500, and </w:t>
      </w:r>
    </w:p>
    <w:p w:rsidR="00864565" w:rsidRPr="00864565" w:rsidRDefault="00864565" w:rsidP="00BA4D06">
      <w:pPr>
        <w:pStyle w:val="NoSpacing"/>
        <w:numPr>
          <w:ilvl w:val="0"/>
          <w:numId w:val="3"/>
        </w:numPr>
        <w:jc w:val="both"/>
        <w:rPr>
          <w:sz w:val="24"/>
          <w:szCs w:val="24"/>
        </w:rPr>
      </w:pPr>
      <w:r w:rsidRPr="00864565">
        <w:rPr>
          <w:sz w:val="24"/>
          <w:szCs w:val="24"/>
        </w:rPr>
        <w:t xml:space="preserve">transactions with other public bodies.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For each individual item of expenditure the following information must be published: </w:t>
      </w:r>
    </w:p>
    <w:p w:rsidR="00864565" w:rsidRPr="00864565" w:rsidRDefault="00864565" w:rsidP="0015066C">
      <w:pPr>
        <w:pStyle w:val="NoSpacing"/>
        <w:numPr>
          <w:ilvl w:val="0"/>
          <w:numId w:val="3"/>
        </w:numPr>
        <w:jc w:val="both"/>
        <w:rPr>
          <w:sz w:val="24"/>
          <w:szCs w:val="24"/>
        </w:rPr>
      </w:pPr>
      <w:r w:rsidRPr="00864565">
        <w:rPr>
          <w:sz w:val="24"/>
          <w:szCs w:val="24"/>
        </w:rPr>
        <w:t xml:space="preserve">date the expenditure was incurred </w:t>
      </w:r>
    </w:p>
    <w:p w:rsidR="00864565" w:rsidRPr="00864565" w:rsidRDefault="001A4A5C" w:rsidP="0015066C">
      <w:pPr>
        <w:pStyle w:val="NoSpacing"/>
        <w:numPr>
          <w:ilvl w:val="0"/>
          <w:numId w:val="3"/>
        </w:numPr>
        <w:jc w:val="both"/>
        <w:rPr>
          <w:sz w:val="24"/>
          <w:szCs w:val="24"/>
        </w:rPr>
      </w:pPr>
      <w:r>
        <w:rPr>
          <w:sz w:val="24"/>
          <w:szCs w:val="24"/>
        </w:rPr>
        <w:t>Local</w:t>
      </w:r>
      <w:r w:rsidR="00864565" w:rsidRPr="00864565">
        <w:rPr>
          <w:sz w:val="24"/>
          <w:szCs w:val="24"/>
        </w:rPr>
        <w:t xml:space="preserve"> </w:t>
      </w:r>
      <w:r>
        <w:rPr>
          <w:sz w:val="24"/>
          <w:szCs w:val="24"/>
        </w:rPr>
        <w:t>Authority</w:t>
      </w:r>
      <w:r w:rsidR="00864565" w:rsidRPr="00864565">
        <w:rPr>
          <w:sz w:val="24"/>
          <w:szCs w:val="24"/>
        </w:rPr>
        <w:t xml:space="preserve"> department which incurred the expenditure </w:t>
      </w:r>
    </w:p>
    <w:p w:rsidR="00864565" w:rsidRPr="00864565" w:rsidRDefault="00864565" w:rsidP="0015066C">
      <w:pPr>
        <w:pStyle w:val="NoSpacing"/>
        <w:numPr>
          <w:ilvl w:val="0"/>
          <w:numId w:val="3"/>
        </w:numPr>
        <w:jc w:val="both"/>
        <w:rPr>
          <w:sz w:val="24"/>
          <w:szCs w:val="24"/>
        </w:rPr>
      </w:pPr>
      <w:r w:rsidRPr="00864565">
        <w:rPr>
          <w:sz w:val="24"/>
          <w:szCs w:val="24"/>
        </w:rPr>
        <w:t xml:space="preserve">beneficiary </w:t>
      </w:r>
    </w:p>
    <w:p w:rsidR="00864565" w:rsidRPr="00864565" w:rsidRDefault="00864565" w:rsidP="0015066C">
      <w:pPr>
        <w:pStyle w:val="NoSpacing"/>
        <w:numPr>
          <w:ilvl w:val="0"/>
          <w:numId w:val="3"/>
        </w:numPr>
        <w:jc w:val="both"/>
        <w:rPr>
          <w:sz w:val="24"/>
          <w:szCs w:val="24"/>
        </w:rPr>
      </w:pPr>
      <w:r w:rsidRPr="00864565">
        <w:rPr>
          <w:sz w:val="24"/>
          <w:szCs w:val="24"/>
        </w:rPr>
        <w:t>summary of the purpose of the expenditure</w:t>
      </w:r>
      <w:r w:rsidR="0015066C">
        <w:rPr>
          <w:sz w:val="24"/>
          <w:szCs w:val="24"/>
        </w:rPr>
        <w:t xml:space="preserve"> (</w:t>
      </w:r>
      <w:r w:rsidR="0015066C">
        <w:t xml:space="preserve">This is the descriptor that Hazlemere Parish Council use in their accounting system providing it gives a clear sense of why the expenditure was incurred or what it purchased or secured for the </w:t>
      </w:r>
      <w:r w:rsidR="001A4A5C">
        <w:t>Local</w:t>
      </w:r>
      <w:r w:rsidR="0015066C">
        <w:t xml:space="preserve"> </w:t>
      </w:r>
      <w:r w:rsidR="001A4A5C">
        <w:t>Authority</w:t>
      </w:r>
      <w:r w:rsidR="0015066C">
        <w:t>.)</w:t>
      </w:r>
      <w:r w:rsidRPr="00864565">
        <w:rPr>
          <w:sz w:val="24"/>
          <w:szCs w:val="24"/>
        </w:rPr>
        <w:t xml:space="preserve"> </w:t>
      </w:r>
    </w:p>
    <w:p w:rsidR="00864565" w:rsidRPr="0015066C" w:rsidRDefault="00864565" w:rsidP="0015066C">
      <w:pPr>
        <w:pStyle w:val="NoSpacing"/>
        <w:numPr>
          <w:ilvl w:val="0"/>
          <w:numId w:val="3"/>
        </w:numPr>
        <w:jc w:val="both"/>
        <w:rPr>
          <w:sz w:val="24"/>
          <w:szCs w:val="24"/>
        </w:rPr>
      </w:pPr>
      <w:r w:rsidRPr="00864565">
        <w:rPr>
          <w:sz w:val="24"/>
          <w:szCs w:val="24"/>
        </w:rPr>
        <w:t>amount</w:t>
      </w:r>
      <w:r w:rsidR="0015066C">
        <w:rPr>
          <w:sz w:val="24"/>
          <w:szCs w:val="24"/>
        </w:rPr>
        <w:t xml:space="preserve"> </w:t>
      </w:r>
      <w:r w:rsidR="0015066C" w:rsidRPr="0015066C">
        <w:rPr>
          <w:sz w:val="24"/>
          <w:szCs w:val="24"/>
        </w:rPr>
        <w:t>(Where possible, this should be the net amount excluding recoverable Value Added Tax. Where Value Added Tax cannot be recovered – or the source of the data being used cannot separate out recoverable Value Added Tax – then the gross amount should be used instead with a note stating that the gross amount has been used.)</w:t>
      </w:r>
    </w:p>
    <w:p w:rsidR="00864565" w:rsidRPr="00864565" w:rsidRDefault="00864565" w:rsidP="0015066C">
      <w:pPr>
        <w:pStyle w:val="NoSpacing"/>
        <w:numPr>
          <w:ilvl w:val="0"/>
          <w:numId w:val="3"/>
        </w:numPr>
        <w:jc w:val="both"/>
        <w:rPr>
          <w:sz w:val="24"/>
          <w:szCs w:val="24"/>
        </w:rPr>
      </w:pPr>
      <w:r w:rsidRPr="00864565">
        <w:rPr>
          <w:sz w:val="24"/>
          <w:szCs w:val="24"/>
        </w:rPr>
        <w:lastRenderedPageBreak/>
        <w:t xml:space="preserve">Value Added Tax that cannot be recovered, and </w:t>
      </w:r>
    </w:p>
    <w:p w:rsidR="00864565" w:rsidRPr="00864565" w:rsidRDefault="00864565" w:rsidP="0015066C">
      <w:pPr>
        <w:pStyle w:val="NoSpacing"/>
        <w:numPr>
          <w:ilvl w:val="0"/>
          <w:numId w:val="3"/>
        </w:numPr>
        <w:jc w:val="both"/>
        <w:rPr>
          <w:sz w:val="24"/>
          <w:szCs w:val="24"/>
        </w:rPr>
      </w:pPr>
      <w:r w:rsidRPr="00864565">
        <w:rPr>
          <w:sz w:val="24"/>
          <w:szCs w:val="24"/>
        </w:rPr>
        <w:t>merchant category (</w:t>
      </w:r>
      <w:r w:rsidR="00323413" w:rsidRPr="00864565">
        <w:rPr>
          <w:sz w:val="24"/>
          <w:szCs w:val="24"/>
        </w:rPr>
        <w:t>e.g.</w:t>
      </w:r>
      <w:r w:rsidRPr="00864565">
        <w:rPr>
          <w:sz w:val="24"/>
          <w:szCs w:val="24"/>
        </w:rPr>
        <w:t xml:space="preserve"> computers, software etc).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Procurement information </w:t>
      </w: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publish details of every invitation to tender for contracts to provide goods and/or services</w:t>
      </w:r>
      <w:r w:rsidR="0085465D">
        <w:rPr>
          <w:sz w:val="24"/>
          <w:szCs w:val="24"/>
        </w:rPr>
        <w:t xml:space="preserve">, </w:t>
      </w:r>
      <w:r w:rsidR="00323413">
        <w:rPr>
          <w:sz w:val="24"/>
          <w:szCs w:val="24"/>
        </w:rPr>
        <w:t>t</w:t>
      </w:r>
      <w:r w:rsidR="0085465D" w:rsidRPr="0088075D">
        <w:rPr>
          <w:sz w:val="24"/>
          <w:szCs w:val="24"/>
        </w:rPr>
        <w:t xml:space="preserve">his includes contracts for staff who are employed via consultancy firms or similar agencies </w:t>
      </w:r>
      <w:r w:rsidR="00864565" w:rsidRPr="0088075D">
        <w:rPr>
          <w:sz w:val="24"/>
          <w:szCs w:val="24"/>
        </w:rPr>
        <w:t>with a value that</w:t>
      </w:r>
      <w:r w:rsidR="00864565" w:rsidRPr="00864565">
        <w:rPr>
          <w:sz w:val="24"/>
          <w:szCs w:val="24"/>
        </w:rPr>
        <w:t xml:space="preserve"> exceeds £5,000</w:t>
      </w:r>
      <w:r w:rsidR="0085465D">
        <w:rPr>
          <w:sz w:val="24"/>
          <w:szCs w:val="24"/>
        </w:rPr>
        <w:t xml:space="preserve">, </w:t>
      </w:r>
      <w:r w:rsidR="0085465D" w:rsidRPr="0085465D">
        <w:rPr>
          <w:sz w:val="24"/>
          <w:szCs w:val="24"/>
        </w:rPr>
        <w:t>the threshold should be, where possible, the net amount excluding recoverable Value Added Tax</w:t>
      </w:r>
      <w:r w:rsidR="0085465D">
        <w:rPr>
          <w:sz w:val="24"/>
          <w:szCs w:val="24"/>
        </w:rPr>
        <w:t>.</w:t>
      </w:r>
      <w:r w:rsidR="00864565" w:rsidRPr="00864565">
        <w:rPr>
          <w:sz w:val="24"/>
          <w:szCs w:val="24"/>
        </w:rPr>
        <w:t xml:space="preserve"> For each invitation, the following details must be published: </w:t>
      </w:r>
    </w:p>
    <w:p w:rsidR="00864565" w:rsidRPr="00864565" w:rsidRDefault="00864565" w:rsidP="0085465D">
      <w:pPr>
        <w:pStyle w:val="NoSpacing"/>
        <w:numPr>
          <w:ilvl w:val="0"/>
          <w:numId w:val="3"/>
        </w:numPr>
        <w:jc w:val="both"/>
        <w:rPr>
          <w:sz w:val="24"/>
          <w:szCs w:val="24"/>
        </w:rPr>
      </w:pPr>
      <w:r w:rsidRPr="00864565">
        <w:rPr>
          <w:sz w:val="24"/>
          <w:szCs w:val="24"/>
        </w:rPr>
        <w:t xml:space="preserve">reference number </w:t>
      </w:r>
    </w:p>
    <w:p w:rsidR="00864565" w:rsidRPr="00864565" w:rsidRDefault="00864565" w:rsidP="0085465D">
      <w:pPr>
        <w:pStyle w:val="NoSpacing"/>
        <w:numPr>
          <w:ilvl w:val="0"/>
          <w:numId w:val="3"/>
        </w:numPr>
        <w:jc w:val="both"/>
        <w:rPr>
          <w:sz w:val="24"/>
          <w:szCs w:val="24"/>
        </w:rPr>
      </w:pPr>
      <w:r w:rsidRPr="00864565">
        <w:rPr>
          <w:sz w:val="24"/>
          <w:szCs w:val="24"/>
        </w:rPr>
        <w:t xml:space="preserve">title </w:t>
      </w:r>
    </w:p>
    <w:p w:rsidR="00864565" w:rsidRPr="00864565" w:rsidRDefault="00864565" w:rsidP="0085465D">
      <w:pPr>
        <w:pStyle w:val="NoSpacing"/>
        <w:numPr>
          <w:ilvl w:val="0"/>
          <w:numId w:val="3"/>
        </w:numPr>
        <w:jc w:val="both"/>
        <w:rPr>
          <w:sz w:val="24"/>
          <w:szCs w:val="24"/>
        </w:rPr>
      </w:pPr>
      <w:r w:rsidRPr="00864565">
        <w:rPr>
          <w:sz w:val="24"/>
          <w:szCs w:val="24"/>
        </w:rPr>
        <w:t xml:space="preserve">description of the goods and/or services sought </w:t>
      </w:r>
    </w:p>
    <w:p w:rsidR="00864565" w:rsidRPr="00864565" w:rsidRDefault="00864565" w:rsidP="0085465D">
      <w:pPr>
        <w:pStyle w:val="NoSpacing"/>
        <w:numPr>
          <w:ilvl w:val="0"/>
          <w:numId w:val="3"/>
        </w:numPr>
        <w:jc w:val="both"/>
        <w:rPr>
          <w:sz w:val="24"/>
          <w:szCs w:val="24"/>
        </w:rPr>
      </w:pPr>
      <w:r w:rsidRPr="00864565">
        <w:rPr>
          <w:sz w:val="24"/>
          <w:szCs w:val="24"/>
        </w:rPr>
        <w:t xml:space="preserve">start, end and review dates, and </w:t>
      </w:r>
    </w:p>
    <w:p w:rsidR="00864565" w:rsidRPr="00864565" w:rsidRDefault="001A4A5C" w:rsidP="0085465D">
      <w:pPr>
        <w:pStyle w:val="NoSpacing"/>
        <w:numPr>
          <w:ilvl w:val="0"/>
          <w:numId w:val="3"/>
        </w:numPr>
        <w:jc w:val="both"/>
        <w:rPr>
          <w:sz w:val="24"/>
          <w:szCs w:val="24"/>
        </w:rPr>
      </w:pPr>
      <w:r>
        <w:rPr>
          <w:sz w:val="24"/>
          <w:szCs w:val="24"/>
        </w:rPr>
        <w:t>Local</w:t>
      </w:r>
      <w:r w:rsidR="00864565" w:rsidRPr="00864565">
        <w:rPr>
          <w:sz w:val="24"/>
          <w:szCs w:val="24"/>
        </w:rPr>
        <w:t xml:space="preserve"> </w:t>
      </w:r>
      <w:r>
        <w:rPr>
          <w:sz w:val="24"/>
          <w:szCs w:val="24"/>
        </w:rPr>
        <w:t>Authority</w:t>
      </w:r>
      <w:r w:rsidR="00864565" w:rsidRPr="00864565">
        <w:rPr>
          <w:sz w:val="24"/>
          <w:szCs w:val="24"/>
        </w:rPr>
        <w:t xml:space="preserve"> department responsible. </w:t>
      </w:r>
    </w:p>
    <w:p w:rsidR="00864565" w:rsidRPr="00864565" w:rsidRDefault="00864565" w:rsidP="00864565">
      <w:pPr>
        <w:pStyle w:val="NoSpacing"/>
        <w:jc w:val="both"/>
        <w:rPr>
          <w:sz w:val="24"/>
          <w:szCs w:val="24"/>
        </w:rPr>
      </w:pP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also publish details of any contract, commissioned activity, purchase order, framework agreement and any other legally enforceable agreement with a value that exceeds £5,000. For each contract, the following details must be published: </w:t>
      </w:r>
    </w:p>
    <w:p w:rsidR="00864565" w:rsidRPr="00864565" w:rsidRDefault="00864565" w:rsidP="004B3CCE">
      <w:pPr>
        <w:pStyle w:val="NoSpacing"/>
        <w:numPr>
          <w:ilvl w:val="0"/>
          <w:numId w:val="3"/>
        </w:numPr>
        <w:jc w:val="both"/>
        <w:rPr>
          <w:sz w:val="24"/>
          <w:szCs w:val="24"/>
        </w:rPr>
      </w:pPr>
      <w:r w:rsidRPr="00864565">
        <w:rPr>
          <w:sz w:val="24"/>
          <w:szCs w:val="24"/>
        </w:rPr>
        <w:t xml:space="preserve">reference number </w:t>
      </w:r>
    </w:p>
    <w:p w:rsidR="00864565" w:rsidRPr="00864565" w:rsidRDefault="00864565" w:rsidP="004B3CCE">
      <w:pPr>
        <w:pStyle w:val="NoSpacing"/>
        <w:numPr>
          <w:ilvl w:val="0"/>
          <w:numId w:val="3"/>
        </w:numPr>
        <w:jc w:val="both"/>
        <w:rPr>
          <w:sz w:val="24"/>
          <w:szCs w:val="24"/>
        </w:rPr>
      </w:pPr>
      <w:r w:rsidRPr="00864565">
        <w:rPr>
          <w:sz w:val="24"/>
          <w:szCs w:val="24"/>
        </w:rPr>
        <w:t xml:space="preserve">title of agreement </w:t>
      </w:r>
    </w:p>
    <w:p w:rsidR="00864565" w:rsidRPr="00864565" w:rsidRDefault="001A4A5C" w:rsidP="004B3CCE">
      <w:pPr>
        <w:pStyle w:val="NoSpacing"/>
        <w:numPr>
          <w:ilvl w:val="0"/>
          <w:numId w:val="3"/>
        </w:numPr>
        <w:jc w:val="both"/>
        <w:rPr>
          <w:sz w:val="24"/>
          <w:szCs w:val="24"/>
        </w:rPr>
      </w:pPr>
      <w:r>
        <w:rPr>
          <w:sz w:val="24"/>
          <w:szCs w:val="24"/>
        </w:rPr>
        <w:t>Local</w:t>
      </w:r>
      <w:r w:rsidR="00864565" w:rsidRPr="00864565">
        <w:rPr>
          <w:sz w:val="24"/>
          <w:szCs w:val="24"/>
        </w:rPr>
        <w:t xml:space="preserve"> </w:t>
      </w:r>
      <w:r>
        <w:rPr>
          <w:sz w:val="24"/>
          <w:szCs w:val="24"/>
        </w:rPr>
        <w:t>Authority</w:t>
      </w:r>
      <w:r w:rsidR="00864565" w:rsidRPr="00864565">
        <w:rPr>
          <w:sz w:val="24"/>
          <w:szCs w:val="24"/>
        </w:rPr>
        <w:t xml:space="preserve"> department responsible </w:t>
      </w:r>
    </w:p>
    <w:p w:rsidR="00864565" w:rsidRPr="00864565" w:rsidRDefault="00864565" w:rsidP="004B3CCE">
      <w:pPr>
        <w:pStyle w:val="NoSpacing"/>
        <w:numPr>
          <w:ilvl w:val="0"/>
          <w:numId w:val="3"/>
        </w:numPr>
        <w:jc w:val="both"/>
        <w:rPr>
          <w:sz w:val="24"/>
          <w:szCs w:val="24"/>
        </w:rPr>
      </w:pPr>
      <w:r w:rsidRPr="00864565">
        <w:rPr>
          <w:sz w:val="24"/>
          <w:szCs w:val="24"/>
        </w:rPr>
        <w:t xml:space="preserve">description of the goods and/or services being provided </w:t>
      </w:r>
    </w:p>
    <w:p w:rsidR="00864565" w:rsidRPr="00864565" w:rsidRDefault="00864565" w:rsidP="004B3CCE">
      <w:pPr>
        <w:pStyle w:val="NoSpacing"/>
        <w:numPr>
          <w:ilvl w:val="0"/>
          <w:numId w:val="3"/>
        </w:numPr>
        <w:jc w:val="both"/>
        <w:rPr>
          <w:sz w:val="24"/>
          <w:szCs w:val="24"/>
        </w:rPr>
      </w:pPr>
      <w:r w:rsidRPr="00864565">
        <w:rPr>
          <w:sz w:val="24"/>
          <w:szCs w:val="24"/>
        </w:rPr>
        <w:t xml:space="preserve">supplier name and details </w:t>
      </w:r>
    </w:p>
    <w:p w:rsidR="00864565" w:rsidRPr="00864565" w:rsidRDefault="00864565" w:rsidP="004B3CCE">
      <w:pPr>
        <w:pStyle w:val="NoSpacing"/>
        <w:numPr>
          <w:ilvl w:val="0"/>
          <w:numId w:val="3"/>
        </w:numPr>
        <w:jc w:val="both"/>
        <w:rPr>
          <w:sz w:val="24"/>
          <w:szCs w:val="24"/>
        </w:rPr>
      </w:pPr>
      <w:r w:rsidRPr="00864565">
        <w:rPr>
          <w:sz w:val="24"/>
          <w:szCs w:val="24"/>
        </w:rPr>
        <w:t>sum to be paid over the length of the contract or the estimated annual spending or budget for the contract</w:t>
      </w:r>
    </w:p>
    <w:p w:rsidR="00864565" w:rsidRPr="00864565" w:rsidRDefault="00864565" w:rsidP="004B3CCE">
      <w:pPr>
        <w:pStyle w:val="NoSpacing"/>
        <w:numPr>
          <w:ilvl w:val="0"/>
          <w:numId w:val="3"/>
        </w:numPr>
        <w:jc w:val="both"/>
        <w:rPr>
          <w:sz w:val="24"/>
          <w:szCs w:val="24"/>
        </w:rPr>
      </w:pPr>
      <w:r w:rsidRPr="00864565">
        <w:rPr>
          <w:sz w:val="24"/>
          <w:szCs w:val="24"/>
        </w:rPr>
        <w:t xml:space="preserve">Value Added Tax that cannot be recovered </w:t>
      </w:r>
    </w:p>
    <w:p w:rsidR="00864565" w:rsidRPr="00864565" w:rsidRDefault="00864565" w:rsidP="004B3CCE">
      <w:pPr>
        <w:pStyle w:val="NoSpacing"/>
        <w:numPr>
          <w:ilvl w:val="0"/>
          <w:numId w:val="3"/>
        </w:numPr>
        <w:jc w:val="both"/>
        <w:rPr>
          <w:sz w:val="24"/>
          <w:szCs w:val="24"/>
        </w:rPr>
      </w:pPr>
      <w:r w:rsidRPr="00864565">
        <w:rPr>
          <w:sz w:val="24"/>
          <w:szCs w:val="24"/>
        </w:rPr>
        <w:t xml:space="preserve">start, end and review dates </w:t>
      </w:r>
    </w:p>
    <w:p w:rsidR="00864565" w:rsidRPr="00864565" w:rsidRDefault="00864565" w:rsidP="004B3CCE">
      <w:pPr>
        <w:pStyle w:val="NoSpacing"/>
        <w:numPr>
          <w:ilvl w:val="0"/>
          <w:numId w:val="3"/>
        </w:numPr>
        <w:jc w:val="both"/>
        <w:rPr>
          <w:sz w:val="24"/>
          <w:szCs w:val="24"/>
        </w:rPr>
      </w:pPr>
      <w:r w:rsidRPr="00864565">
        <w:rPr>
          <w:sz w:val="24"/>
          <w:szCs w:val="24"/>
        </w:rPr>
        <w:t xml:space="preserve">whether or not the contract was the result of an invitation to quote or a published invitation to tender, and </w:t>
      </w:r>
    </w:p>
    <w:p w:rsidR="00864565" w:rsidRPr="00864565" w:rsidRDefault="00864565" w:rsidP="004B3CCE">
      <w:pPr>
        <w:pStyle w:val="NoSpacing"/>
        <w:numPr>
          <w:ilvl w:val="0"/>
          <w:numId w:val="3"/>
        </w:numPr>
        <w:jc w:val="both"/>
        <w:rPr>
          <w:sz w:val="24"/>
          <w:szCs w:val="24"/>
        </w:rPr>
      </w:pPr>
      <w:r w:rsidRPr="00864565">
        <w:rPr>
          <w:sz w:val="24"/>
          <w:szCs w:val="24"/>
        </w:rPr>
        <w:t>whether or not the supplier is a small or medium sized enterprise and/or a voluntary or community sector organisation and where it is, provide the relevant registration number</w:t>
      </w:r>
      <w:r w:rsidR="004B3CCE">
        <w:rPr>
          <w:sz w:val="24"/>
          <w:szCs w:val="24"/>
        </w:rPr>
        <w:t>.</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Infor</w:t>
      </w:r>
      <w:r w:rsidR="001A4A5C">
        <w:rPr>
          <w:sz w:val="24"/>
          <w:szCs w:val="24"/>
        </w:rPr>
        <w:t>mation to be published annually, d</w:t>
      </w:r>
      <w:r w:rsidRPr="00864565">
        <w:rPr>
          <w:sz w:val="24"/>
          <w:szCs w:val="24"/>
        </w:rPr>
        <w:t xml:space="preserve">ata covered by this section includes: </w:t>
      </w:r>
    </w:p>
    <w:p w:rsidR="00864565" w:rsidRPr="00864565" w:rsidRDefault="001A4A5C" w:rsidP="004B3CCE">
      <w:pPr>
        <w:pStyle w:val="NoSpacing"/>
        <w:numPr>
          <w:ilvl w:val="0"/>
          <w:numId w:val="3"/>
        </w:numPr>
        <w:jc w:val="both"/>
        <w:rPr>
          <w:sz w:val="24"/>
          <w:szCs w:val="24"/>
        </w:rPr>
      </w:pPr>
      <w:r>
        <w:rPr>
          <w:sz w:val="24"/>
          <w:szCs w:val="24"/>
        </w:rPr>
        <w:t>Local</w:t>
      </w:r>
      <w:r w:rsidR="00864565" w:rsidRPr="00864565">
        <w:rPr>
          <w:sz w:val="24"/>
          <w:szCs w:val="24"/>
        </w:rPr>
        <w:t xml:space="preserve"> </w:t>
      </w:r>
      <w:r>
        <w:rPr>
          <w:sz w:val="24"/>
          <w:szCs w:val="24"/>
        </w:rPr>
        <w:t>Authority</w:t>
      </w:r>
      <w:r w:rsidR="00864565" w:rsidRPr="00864565">
        <w:rPr>
          <w:sz w:val="24"/>
          <w:szCs w:val="24"/>
        </w:rPr>
        <w:t xml:space="preserve"> </w:t>
      </w:r>
      <w:r w:rsidR="004B3CCE">
        <w:rPr>
          <w:sz w:val="24"/>
          <w:szCs w:val="24"/>
        </w:rPr>
        <w:t xml:space="preserve">land </w:t>
      </w:r>
    </w:p>
    <w:p w:rsidR="00864565" w:rsidRPr="00864565" w:rsidRDefault="00864565" w:rsidP="004B3CCE">
      <w:pPr>
        <w:pStyle w:val="NoSpacing"/>
        <w:numPr>
          <w:ilvl w:val="0"/>
          <w:numId w:val="3"/>
        </w:numPr>
        <w:jc w:val="both"/>
        <w:rPr>
          <w:sz w:val="24"/>
          <w:szCs w:val="24"/>
        </w:rPr>
      </w:pPr>
      <w:r w:rsidRPr="00864565">
        <w:rPr>
          <w:sz w:val="24"/>
          <w:szCs w:val="24"/>
        </w:rPr>
        <w:t>grants to voluntary, community and social enterprise organisat</w:t>
      </w:r>
      <w:r w:rsidR="004B3CCE">
        <w:rPr>
          <w:sz w:val="24"/>
          <w:szCs w:val="24"/>
        </w:rPr>
        <w:t xml:space="preserve">ions </w:t>
      </w:r>
    </w:p>
    <w:p w:rsidR="00864565" w:rsidRPr="00864565" w:rsidRDefault="00864565" w:rsidP="004B3CCE">
      <w:pPr>
        <w:pStyle w:val="NoSpacing"/>
        <w:numPr>
          <w:ilvl w:val="0"/>
          <w:numId w:val="3"/>
        </w:numPr>
        <w:jc w:val="both"/>
        <w:rPr>
          <w:sz w:val="24"/>
          <w:szCs w:val="24"/>
        </w:rPr>
      </w:pPr>
      <w:r w:rsidRPr="00864565">
        <w:rPr>
          <w:sz w:val="24"/>
          <w:szCs w:val="24"/>
        </w:rPr>
        <w:t>organi</w:t>
      </w:r>
      <w:r w:rsidR="004B3CCE">
        <w:rPr>
          <w:sz w:val="24"/>
          <w:szCs w:val="24"/>
        </w:rPr>
        <w:t>sation chart</w:t>
      </w:r>
    </w:p>
    <w:p w:rsidR="00864565" w:rsidRPr="00864565" w:rsidRDefault="00864565" w:rsidP="004B3CCE">
      <w:pPr>
        <w:pStyle w:val="NoSpacing"/>
        <w:numPr>
          <w:ilvl w:val="0"/>
          <w:numId w:val="3"/>
        </w:numPr>
        <w:jc w:val="both"/>
        <w:rPr>
          <w:sz w:val="24"/>
          <w:szCs w:val="24"/>
        </w:rPr>
      </w:pPr>
      <w:r w:rsidRPr="00864565">
        <w:rPr>
          <w:sz w:val="24"/>
          <w:szCs w:val="24"/>
        </w:rPr>
        <w:t>trade union f</w:t>
      </w:r>
      <w:r w:rsidR="004B3CCE">
        <w:rPr>
          <w:sz w:val="24"/>
          <w:szCs w:val="24"/>
        </w:rPr>
        <w:t xml:space="preserve">acility time </w:t>
      </w:r>
    </w:p>
    <w:p w:rsidR="00864565" w:rsidRPr="00864565" w:rsidRDefault="00864565" w:rsidP="004B3CCE">
      <w:pPr>
        <w:pStyle w:val="NoSpacing"/>
        <w:numPr>
          <w:ilvl w:val="0"/>
          <w:numId w:val="3"/>
        </w:numPr>
        <w:jc w:val="both"/>
        <w:rPr>
          <w:sz w:val="24"/>
          <w:szCs w:val="24"/>
        </w:rPr>
      </w:pPr>
      <w:r w:rsidRPr="00864565">
        <w:rPr>
          <w:sz w:val="24"/>
          <w:szCs w:val="24"/>
        </w:rPr>
        <w:t>par</w:t>
      </w:r>
      <w:r w:rsidR="004B3CCE">
        <w:rPr>
          <w:sz w:val="24"/>
          <w:szCs w:val="24"/>
        </w:rPr>
        <w:t xml:space="preserve">king account </w:t>
      </w:r>
    </w:p>
    <w:p w:rsidR="00864565" w:rsidRPr="00864565" w:rsidRDefault="00864565" w:rsidP="004B3CCE">
      <w:pPr>
        <w:pStyle w:val="NoSpacing"/>
        <w:numPr>
          <w:ilvl w:val="0"/>
          <w:numId w:val="3"/>
        </w:numPr>
        <w:jc w:val="both"/>
        <w:rPr>
          <w:sz w:val="24"/>
          <w:szCs w:val="24"/>
        </w:rPr>
      </w:pPr>
      <w:r w:rsidRPr="00864565">
        <w:rPr>
          <w:sz w:val="24"/>
          <w:szCs w:val="24"/>
        </w:rPr>
        <w:t>pa</w:t>
      </w:r>
      <w:r w:rsidR="004B3CCE">
        <w:rPr>
          <w:sz w:val="24"/>
          <w:szCs w:val="24"/>
        </w:rPr>
        <w:t xml:space="preserve">rking spaces </w:t>
      </w:r>
    </w:p>
    <w:p w:rsidR="00864565" w:rsidRPr="00864565" w:rsidRDefault="00864565" w:rsidP="004B3CCE">
      <w:pPr>
        <w:pStyle w:val="NoSpacing"/>
        <w:numPr>
          <w:ilvl w:val="0"/>
          <w:numId w:val="3"/>
        </w:numPr>
        <w:jc w:val="both"/>
        <w:rPr>
          <w:sz w:val="24"/>
          <w:szCs w:val="24"/>
        </w:rPr>
      </w:pPr>
      <w:r w:rsidRPr="00864565">
        <w:rPr>
          <w:sz w:val="24"/>
          <w:szCs w:val="24"/>
        </w:rPr>
        <w:t>senior sala</w:t>
      </w:r>
      <w:r w:rsidR="004B3CCE">
        <w:rPr>
          <w:sz w:val="24"/>
          <w:szCs w:val="24"/>
        </w:rPr>
        <w:t xml:space="preserve">ries </w:t>
      </w:r>
    </w:p>
    <w:p w:rsidR="00864565" w:rsidRPr="00864565" w:rsidRDefault="004B3CCE" w:rsidP="004B3CCE">
      <w:pPr>
        <w:pStyle w:val="NoSpacing"/>
        <w:numPr>
          <w:ilvl w:val="0"/>
          <w:numId w:val="3"/>
        </w:numPr>
        <w:jc w:val="both"/>
        <w:rPr>
          <w:sz w:val="24"/>
          <w:szCs w:val="24"/>
        </w:rPr>
      </w:pPr>
      <w:r>
        <w:rPr>
          <w:sz w:val="24"/>
          <w:szCs w:val="24"/>
        </w:rPr>
        <w:t xml:space="preserve">constitution </w:t>
      </w:r>
    </w:p>
    <w:p w:rsidR="00864565" w:rsidRPr="00864565" w:rsidRDefault="00864565" w:rsidP="004B3CCE">
      <w:pPr>
        <w:pStyle w:val="NoSpacing"/>
        <w:numPr>
          <w:ilvl w:val="0"/>
          <w:numId w:val="3"/>
        </w:numPr>
        <w:jc w:val="both"/>
        <w:rPr>
          <w:sz w:val="24"/>
          <w:szCs w:val="24"/>
        </w:rPr>
      </w:pPr>
      <w:r w:rsidRPr="00864565">
        <w:rPr>
          <w:sz w:val="24"/>
          <w:szCs w:val="24"/>
        </w:rPr>
        <w:t>pay mu</w:t>
      </w:r>
      <w:r w:rsidR="004B3CCE">
        <w:rPr>
          <w:sz w:val="24"/>
          <w:szCs w:val="24"/>
        </w:rPr>
        <w:t>ltiple</w:t>
      </w:r>
      <w:r w:rsidRPr="00864565">
        <w:rPr>
          <w:sz w:val="24"/>
          <w:szCs w:val="24"/>
        </w:rPr>
        <w:t xml:space="preserve">, and </w:t>
      </w:r>
    </w:p>
    <w:p w:rsidR="00864565" w:rsidRPr="00864565" w:rsidRDefault="004B3CCE" w:rsidP="004B3CCE">
      <w:pPr>
        <w:pStyle w:val="NoSpacing"/>
        <w:numPr>
          <w:ilvl w:val="0"/>
          <w:numId w:val="3"/>
        </w:numPr>
        <w:jc w:val="both"/>
        <w:rPr>
          <w:sz w:val="24"/>
          <w:szCs w:val="24"/>
        </w:rPr>
      </w:pPr>
      <w:r>
        <w:rPr>
          <w:sz w:val="24"/>
          <w:szCs w:val="24"/>
        </w:rPr>
        <w:t>fraud.</w:t>
      </w:r>
    </w:p>
    <w:p w:rsidR="001A4A5C" w:rsidRPr="00864565" w:rsidRDefault="001A4A5C"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 The data and information must be published: </w:t>
      </w:r>
    </w:p>
    <w:p w:rsidR="00864565" w:rsidRPr="00864565" w:rsidRDefault="00864565" w:rsidP="004B3CCE">
      <w:pPr>
        <w:pStyle w:val="NoSpacing"/>
        <w:numPr>
          <w:ilvl w:val="0"/>
          <w:numId w:val="3"/>
        </w:numPr>
        <w:jc w:val="both"/>
        <w:rPr>
          <w:sz w:val="24"/>
          <w:szCs w:val="24"/>
        </w:rPr>
      </w:pPr>
      <w:r w:rsidRPr="00864565">
        <w:rPr>
          <w:sz w:val="24"/>
          <w:szCs w:val="24"/>
        </w:rPr>
        <w:t xml:space="preserve">on the first occasion, not later than 2 February 2015, and </w:t>
      </w:r>
    </w:p>
    <w:p w:rsidR="00864565" w:rsidRPr="00864565" w:rsidRDefault="00864565" w:rsidP="004B3CCE">
      <w:pPr>
        <w:pStyle w:val="NoSpacing"/>
        <w:numPr>
          <w:ilvl w:val="0"/>
          <w:numId w:val="3"/>
        </w:numPr>
        <w:jc w:val="both"/>
        <w:rPr>
          <w:sz w:val="24"/>
          <w:szCs w:val="24"/>
        </w:rPr>
      </w:pPr>
      <w:r w:rsidRPr="00864565">
        <w:rPr>
          <w:sz w:val="24"/>
          <w:szCs w:val="24"/>
        </w:rPr>
        <w:lastRenderedPageBreak/>
        <w:t>thereafter, not less than annually and not later than one month after the year to which the data and information is applicable</w:t>
      </w:r>
      <w:r w:rsidR="004B3CCE">
        <w:rPr>
          <w:sz w:val="24"/>
          <w:szCs w:val="24"/>
        </w:rPr>
        <w:t>.</w:t>
      </w:r>
    </w:p>
    <w:p w:rsidR="00864565" w:rsidRPr="00864565" w:rsidRDefault="00864565" w:rsidP="00864565">
      <w:pPr>
        <w:pStyle w:val="NoSpacing"/>
        <w:jc w:val="both"/>
        <w:rPr>
          <w:sz w:val="24"/>
          <w:szCs w:val="24"/>
        </w:rPr>
      </w:pPr>
    </w:p>
    <w:p w:rsidR="00864565" w:rsidRPr="00864565" w:rsidRDefault="001A4A5C" w:rsidP="00864565">
      <w:pPr>
        <w:pStyle w:val="NoSpacing"/>
        <w:jc w:val="both"/>
        <w:rPr>
          <w:sz w:val="24"/>
          <w:szCs w:val="24"/>
        </w:rPr>
      </w:pPr>
      <w:r>
        <w:rPr>
          <w:b/>
          <w:bCs/>
          <w:sz w:val="24"/>
          <w:szCs w:val="24"/>
        </w:rPr>
        <w:t>Local</w:t>
      </w:r>
      <w:r w:rsidR="00864565" w:rsidRPr="00864565">
        <w:rPr>
          <w:b/>
          <w:bCs/>
          <w:sz w:val="24"/>
          <w:szCs w:val="24"/>
        </w:rPr>
        <w:t xml:space="preserve"> </w:t>
      </w:r>
      <w:r>
        <w:rPr>
          <w:b/>
          <w:bCs/>
          <w:sz w:val="24"/>
          <w:szCs w:val="24"/>
        </w:rPr>
        <w:t>Authority</w:t>
      </w:r>
      <w:r w:rsidR="00864565" w:rsidRPr="00864565">
        <w:rPr>
          <w:b/>
          <w:bCs/>
          <w:sz w:val="24"/>
          <w:szCs w:val="24"/>
        </w:rPr>
        <w:t xml:space="preserve"> land </w:t>
      </w: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publish details of all land and building assets including: </w:t>
      </w:r>
    </w:p>
    <w:p w:rsidR="00864565" w:rsidRPr="00864565" w:rsidRDefault="00864565" w:rsidP="004B3CCE">
      <w:pPr>
        <w:pStyle w:val="NoSpacing"/>
        <w:numPr>
          <w:ilvl w:val="0"/>
          <w:numId w:val="3"/>
        </w:numPr>
        <w:jc w:val="both"/>
        <w:rPr>
          <w:sz w:val="24"/>
          <w:szCs w:val="24"/>
        </w:rPr>
      </w:pPr>
      <w:r w:rsidRPr="00864565">
        <w:rPr>
          <w:sz w:val="24"/>
          <w:szCs w:val="24"/>
        </w:rPr>
        <w:t xml:space="preserve">all service and office properties occupied or controlled by user bodies, both freehold and leasehold </w:t>
      </w:r>
    </w:p>
    <w:p w:rsidR="00864565" w:rsidRPr="00864565" w:rsidRDefault="00864565" w:rsidP="004B3CCE">
      <w:pPr>
        <w:pStyle w:val="NoSpacing"/>
        <w:numPr>
          <w:ilvl w:val="0"/>
          <w:numId w:val="3"/>
        </w:numPr>
        <w:jc w:val="both"/>
        <w:rPr>
          <w:sz w:val="24"/>
          <w:szCs w:val="24"/>
        </w:rPr>
      </w:pPr>
      <w:r w:rsidRPr="00864565">
        <w:rPr>
          <w:sz w:val="24"/>
          <w:szCs w:val="24"/>
        </w:rPr>
        <w:t xml:space="preserve">any properties occupied or run under Private Finance Initiative contracts </w:t>
      </w:r>
    </w:p>
    <w:p w:rsidR="00864565" w:rsidRPr="00864565" w:rsidRDefault="00864565" w:rsidP="004B3CCE">
      <w:pPr>
        <w:pStyle w:val="NoSpacing"/>
        <w:numPr>
          <w:ilvl w:val="0"/>
          <w:numId w:val="3"/>
        </w:numPr>
        <w:jc w:val="both"/>
        <w:rPr>
          <w:sz w:val="24"/>
          <w:szCs w:val="24"/>
        </w:rPr>
      </w:pPr>
      <w:r w:rsidRPr="00864565">
        <w:rPr>
          <w:sz w:val="24"/>
          <w:szCs w:val="24"/>
        </w:rPr>
        <w:t xml:space="preserve">all other properties they own or use, for example, hostels, laboratories, investment properties and depots </w:t>
      </w:r>
    </w:p>
    <w:p w:rsidR="00864565" w:rsidRPr="00864565" w:rsidRDefault="00864565" w:rsidP="004B3CCE">
      <w:pPr>
        <w:pStyle w:val="NoSpacing"/>
        <w:numPr>
          <w:ilvl w:val="0"/>
          <w:numId w:val="3"/>
        </w:numPr>
        <w:jc w:val="both"/>
        <w:rPr>
          <w:sz w:val="24"/>
          <w:szCs w:val="24"/>
        </w:rPr>
      </w:pPr>
      <w:r w:rsidRPr="00864565">
        <w:rPr>
          <w:sz w:val="24"/>
          <w:szCs w:val="24"/>
        </w:rPr>
        <w:t xml:space="preserve">garages unless rented as part of a housing tenancy agreement </w:t>
      </w:r>
    </w:p>
    <w:p w:rsidR="00864565" w:rsidRPr="00864565" w:rsidRDefault="00864565" w:rsidP="004B3CCE">
      <w:pPr>
        <w:pStyle w:val="NoSpacing"/>
        <w:numPr>
          <w:ilvl w:val="0"/>
          <w:numId w:val="3"/>
        </w:numPr>
        <w:jc w:val="both"/>
        <w:rPr>
          <w:sz w:val="24"/>
          <w:szCs w:val="24"/>
        </w:rPr>
      </w:pPr>
      <w:r w:rsidRPr="00864565">
        <w:rPr>
          <w:sz w:val="24"/>
          <w:szCs w:val="24"/>
        </w:rPr>
        <w:t xml:space="preserve">surplus, sublet or vacant properties </w:t>
      </w:r>
    </w:p>
    <w:p w:rsidR="00864565" w:rsidRPr="00864565" w:rsidRDefault="00864565" w:rsidP="004B3CCE">
      <w:pPr>
        <w:pStyle w:val="NoSpacing"/>
        <w:numPr>
          <w:ilvl w:val="0"/>
          <w:numId w:val="3"/>
        </w:numPr>
        <w:jc w:val="both"/>
        <w:rPr>
          <w:sz w:val="24"/>
          <w:szCs w:val="24"/>
        </w:rPr>
      </w:pPr>
      <w:r w:rsidRPr="00864565">
        <w:rPr>
          <w:sz w:val="24"/>
          <w:szCs w:val="24"/>
        </w:rPr>
        <w:t xml:space="preserve">undeveloped land </w:t>
      </w:r>
    </w:p>
    <w:p w:rsidR="00864565" w:rsidRPr="00864565" w:rsidRDefault="00864565" w:rsidP="004B3CCE">
      <w:pPr>
        <w:pStyle w:val="NoSpacing"/>
        <w:numPr>
          <w:ilvl w:val="0"/>
          <w:numId w:val="3"/>
        </w:numPr>
        <w:jc w:val="both"/>
        <w:rPr>
          <w:sz w:val="24"/>
          <w:szCs w:val="24"/>
        </w:rPr>
      </w:pPr>
      <w:r w:rsidRPr="00864565">
        <w:rPr>
          <w:sz w:val="24"/>
          <w:szCs w:val="24"/>
        </w:rPr>
        <w:t xml:space="preserve">serviced or temporary offices where contractual or actual occupation exceeds three months, and </w:t>
      </w:r>
    </w:p>
    <w:p w:rsidR="00864565" w:rsidRPr="00864565" w:rsidRDefault="00864565" w:rsidP="004B3CCE">
      <w:pPr>
        <w:pStyle w:val="NoSpacing"/>
        <w:numPr>
          <w:ilvl w:val="0"/>
          <w:numId w:val="3"/>
        </w:numPr>
        <w:jc w:val="both"/>
        <w:rPr>
          <w:sz w:val="24"/>
          <w:szCs w:val="24"/>
        </w:rPr>
      </w:pPr>
      <w:r w:rsidRPr="00864565">
        <w:rPr>
          <w:sz w:val="24"/>
          <w:szCs w:val="24"/>
        </w:rPr>
        <w:t xml:space="preserve">all future commitments, for example under an agreement for lease, from when the contractual commitment is made.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However, information about the following land and building assets are to be excluded from publication: </w:t>
      </w:r>
    </w:p>
    <w:p w:rsidR="00864565" w:rsidRPr="00864565" w:rsidRDefault="00864565" w:rsidP="004B3CCE">
      <w:pPr>
        <w:pStyle w:val="NoSpacing"/>
        <w:numPr>
          <w:ilvl w:val="0"/>
          <w:numId w:val="3"/>
        </w:numPr>
        <w:jc w:val="both"/>
        <w:rPr>
          <w:sz w:val="24"/>
          <w:szCs w:val="24"/>
        </w:rPr>
      </w:pPr>
      <w:r w:rsidRPr="00864565">
        <w:rPr>
          <w:sz w:val="24"/>
          <w:szCs w:val="24"/>
        </w:rPr>
        <w:t>social housing</w:t>
      </w:r>
    </w:p>
    <w:p w:rsidR="00864565" w:rsidRPr="00864565" w:rsidRDefault="00864565" w:rsidP="004B3CCE">
      <w:pPr>
        <w:pStyle w:val="NoSpacing"/>
        <w:numPr>
          <w:ilvl w:val="0"/>
          <w:numId w:val="3"/>
        </w:numPr>
        <w:jc w:val="both"/>
        <w:rPr>
          <w:sz w:val="24"/>
          <w:szCs w:val="24"/>
        </w:rPr>
      </w:pPr>
      <w:r w:rsidRPr="00864565">
        <w:rPr>
          <w:sz w:val="24"/>
          <w:szCs w:val="24"/>
        </w:rPr>
        <w:t xml:space="preserve">rent free properties provided by traders (such as information booths in public places or ports) </w:t>
      </w:r>
    </w:p>
    <w:p w:rsidR="00864565" w:rsidRPr="00864565" w:rsidRDefault="00864565" w:rsidP="004B3CCE">
      <w:pPr>
        <w:pStyle w:val="NoSpacing"/>
        <w:numPr>
          <w:ilvl w:val="0"/>
          <w:numId w:val="3"/>
        </w:numPr>
        <w:jc w:val="both"/>
        <w:rPr>
          <w:sz w:val="24"/>
          <w:szCs w:val="24"/>
        </w:rPr>
      </w:pPr>
      <w:r w:rsidRPr="00864565">
        <w:rPr>
          <w:sz w:val="24"/>
          <w:szCs w:val="24"/>
        </w:rPr>
        <w:t xml:space="preserve">operational railways and canals </w:t>
      </w:r>
    </w:p>
    <w:p w:rsidR="00864565" w:rsidRPr="00864565" w:rsidRDefault="00864565" w:rsidP="004B3CCE">
      <w:pPr>
        <w:pStyle w:val="NoSpacing"/>
        <w:numPr>
          <w:ilvl w:val="0"/>
          <w:numId w:val="3"/>
        </w:numPr>
        <w:jc w:val="both"/>
        <w:rPr>
          <w:sz w:val="24"/>
          <w:szCs w:val="24"/>
        </w:rPr>
      </w:pPr>
      <w:r w:rsidRPr="00864565">
        <w:rPr>
          <w:sz w:val="24"/>
          <w:szCs w:val="24"/>
        </w:rPr>
        <w:t xml:space="preserve">operational public highways (but any adjoining land not subject to public rights should be included) </w:t>
      </w:r>
    </w:p>
    <w:p w:rsidR="00864565" w:rsidRPr="00864565" w:rsidRDefault="00864565" w:rsidP="004B3CCE">
      <w:pPr>
        <w:pStyle w:val="NoSpacing"/>
        <w:numPr>
          <w:ilvl w:val="0"/>
          <w:numId w:val="3"/>
        </w:numPr>
        <w:jc w:val="both"/>
        <w:rPr>
          <w:sz w:val="24"/>
          <w:szCs w:val="24"/>
        </w:rPr>
      </w:pPr>
      <w:r w:rsidRPr="00864565">
        <w:rPr>
          <w:sz w:val="24"/>
          <w:szCs w:val="24"/>
        </w:rPr>
        <w:t xml:space="preserve">assets of national security, and </w:t>
      </w:r>
    </w:p>
    <w:p w:rsidR="00864565" w:rsidRPr="00864565" w:rsidRDefault="001A4A5C" w:rsidP="004B3CCE">
      <w:pPr>
        <w:pStyle w:val="NoSpacing"/>
        <w:numPr>
          <w:ilvl w:val="0"/>
          <w:numId w:val="3"/>
        </w:numPr>
        <w:jc w:val="both"/>
        <w:rPr>
          <w:sz w:val="24"/>
          <w:szCs w:val="24"/>
        </w:rPr>
      </w:pPr>
      <w:r w:rsidRPr="00864565">
        <w:rPr>
          <w:sz w:val="24"/>
          <w:szCs w:val="24"/>
        </w:rPr>
        <w:t>Information</w:t>
      </w:r>
      <w:r w:rsidR="00864565" w:rsidRPr="00864565">
        <w:rPr>
          <w:sz w:val="24"/>
          <w:szCs w:val="24"/>
        </w:rPr>
        <w:t xml:space="preserve"> deemed inappropriate for public access as a result of data protection and/or disclosure controls (</w:t>
      </w:r>
      <w:r w:rsidRPr="00864565">
        <w:rPr>
          <w:sz w:val="24"/>
          <w:szCs w:val="24"/>
        </w:rPr>
        <w:t>e.g.</w:t>
      </w:r>
      <w:r w:rsidR="00864565" w:rsidRPr="00864565">
        <w:rPr>
          <w:sz w:val="24"/>
          <w:szCs w:val="24"/>
        </w:rPr>
        <w:t xml:space="preserve"> such as refuge houses).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For each land or building asset, the following information must be published together in one place: </w:t>
      </w:r>
    </w:p>
    <w:p w:rsidR="00864565" w:rsidRPr="00864565" w:rsidRDefault="00864565" w:rsidP="004B3CCE">
      <w:pPr>
        <w:pStyle w:val="NoSpacing"/>
        <w:numPr>
          <w:ilvl w:val="0"/>
          <w:numId w:val="3"/>
        </w:numPr>
        <w:jc w:val="both"/>
        <w:rPr>
          <w:sz w:val="24"/>
          <w:szCs w:val="24"/>
        </w:rPr>
      </w:pPr>
      <w:r w:rsidRPr="00864565">
        <w:rPr>
          <w:sz w:val="24"/>
          <w:szCs w:val="24"/>
        </w:rPr>
        <w:t xml:space="preserve">Unique Property Reference Number </w:t>
      </w:r>
    </w:p>
    <w:p w:rsidR="00864565" w:rsidRPr="00864565" w:rsidRDefault="00864565" w:rsidP="004B3CCE">
      <w:pPr>
        <w:pStyle w:val="NoSpacing"/>
        <w:numPr>
          <w:ilvl w:val="0"/>
          <w:numId w:val="3"/>
        </w:numPr>
        <w:jc w:val="both"/>
        <w:rPr>
          <w:sz w:val="24"/>
          <w:szCs w:val="24"/>
        </w:rPr>
      </w:pPr>
      <w:r w:rsidRPr="00864565">
        <w:rPr>
          <w:sz w:val="24"/>
          <w:szCs w:val="24"/>
        </w:rPr>
        <w:t xml:space="preserve">Unique asset identity - the </w:t>
      </w:r>
      <w:r w:rsidR="001A4A5C">
        <w:rPr>
          <w:sz w:val="24"/>
          <w:szCs w:val="24"/>
        </w:rPr>
        <w:t>Local</w:t>
      </w:r>
      <w:r w:rsidRPr="00864565">
        <w:rPr>
          <w:sz w:val="24"/>
          <w:szCs w:val="24"/>
        </w:rPr>
        <w:t xml:space="preserve"> reference identifier used by the </w:t>
      </w:r>
      <w:r w:rsidR="001A4A5C">
        <w:rPr>
          <w:sz w:val="24"/>
          <w:szCs w:val="24"/>
        </w:rPr>
        <w:t>Local</w:t>
      </w:r>
      <w:r w:rsidRPr="00864565">
        <w:rPr>
          <w:sz w:val="24"/>
          <w:szCs w:val="24"/>
        </w:rPr>
        <w:t xml:space="preserve"> body, sometimes known as </w:t>
      </w:r>
      <w:r w:rsidR="001A4A5C">
        <w:rPr>
          <w:sz w:val="24"/>
          <w:szCs w:val="24"/>
        </w:rPr>
        <w:t>Local</w:t>
      </w:r>
      <w:r w:rsidRPr="00864565">
        <w:rPr>
          <w:sz w:val="24"/>
          <w:szCs w:val="24"/>
        </w:rPr>
        <w:t xml:space="preserve"> name or building block. There should be one entry per asset or user/owner (</w:t>
      </w:r>
      <w:r w:rsidR="001A4A5C" w:rsidRPr="00864565">
        <w:rPr>
          <w:sz w:val="24"/>
          <w:szCs w:val="24"/>
        </w:rPr>
        <w:t>e.g.</w:t>
      </w:r>
      <w:r w:rsidRPr="00864565">
        <w:rPr>
          <w:sz w:val="24"/>
          <w:szCs w:val="24"/>
        </w:rPr>
        <w:t xml:space="preserve"> on one site there could be several buildings or in one building there could be several users floors/rooms etc – where this is the case, each of these will have a separate asset identity). This must include the original reference number from the data source plus </w:t>
      </w:r>
      <w:r w:rsidR="001A4A5C">
        <w:rPr>
          <w:sz w:val="24"/>
          <w:szCs w:val="24"/>
        </w:rPr>
        <w:t>Authority</w:t>
      </w:r>
      <w:r w:rsidRPr="00864565">
        <w:rPr>
          <w:sz w:val="24"/>
          <w:szCs w:val="24"/>
        </w:rPr>
        <w:t xml:space="preserve"> code </w:t>
      </w:r>
    </w:p>
    <w:p w:rsidR="00864565" w:rsidRPr="00864565" w:rsidRDefault="00864565" w:rsidP="004B3CCE">
      <w:pPr>
        <w:pStyle w:val="NoSpacing"/>
        <w:numPr>
          <w:ilvl w:val="0"/>
          <w:numId w:val="3"/>
        </w:numPr>
        <w:jc w:val="both"/>
        <w:rPr>
          <w:sz w:val="24"/>
          <w:szCs w:val="24"/>
        </w:rPr>
      </w:pPr>
      <w:r w:rsidRPr="00864565">
        <w:rPr>
          <w:sz w:val="24"/>
          <w:szCs w:val="24"/>
        </w:rPr>
        <w:t xml:space="preserve">name of the building/land or both </w:t>
      </w:r>
    </w:p>
    <w:p w:rsidR="004B3CCE" w:rsidRPr="00864565" w:rsidRDefault="00864565" w:rsidP="004B3CCE">
      <w:pPr>
        <w:pStyle w:val="NoSpacing"/>
        <w:numPr>
          <w:ilvl w:val="0"/>
          <w:numId w:val="3"/>
        </w:numPr>
        <w:jc w:val="both"/>
        <w:rPr>
          <w:sz w:val="24"/>
          <w:szCs w:val="24"/>
        </w:rPr>
      </w:pPr>
      <w:r w:rsidRPr="00864565">
        <w:rPr>
          <w:sz w:val="24"/>
          <w:szCs w:val="24"/>
        </w:rPr>
        <w:t>street number or numbers - any sets of 2 or more numbers should be separated with the ‘-‘ symbol (</w:t>
      </w:r>
      <w:r w:rsidR="001A4A5C" w:rsidRPr="00864565">
        <w:rPr>
          <w:sz w:val="24"/>
          <w:szCs w:val="24"/>
        </w:rPr>
        <w:t>e.g.</w:t>
      </w:r>
      <w:r w:rsidRPr="00864565">
        <w:rPr>
          <w:sz w:val="24"/>
          <w:szCs w:val="24"/>
        </w:rPr>
        <w:t xml:space="preserve"> 10-15 London Road) </w:t>
      </w:r>
    </w:p>
    <w:p w:rsidR="00864565" w:rsidRPr="00864565" w:rsidRDefault="00864565" w:rsidP="004B3CCE">
      <w:pPr>
        <w:pStyle w:val="NoSpacing"/>
        <w:numPr>
          <w:ilvl w:val="0"/>
          <w:numId w:val="3"/>
        </w:numPr>
        <w:jc w:val="both"/>
        <w:rPr>
          <w:sz w:val="24"/>
          <w:szCs w:val="24"/>
        </w:rPr>
      </w:pPr>
      <w:proofErr w:type="gramStart"/>
      <w:r w:rsidRPr="00864565">
        <w:rPr>
          <w:sz w:val="24"/>
          <w:szCs w:val="24"/>
        </w:rPr>
        <w:t>street</w:t>
      </w:r>
      <w:proofErr w:type="gramEnd"/>
      <w:r w:rsidRPr="00864565">
        <w:rPr>
          <w:sz w:val="24"/>
          <w:szCs w:val="24"/>
        </w:rPr>
        <w:t xml:space="preserve"> name – this is the postal road address</w:t>
      </w:r>
      <w:r w:rsidR="004B3CCE" w:rsidRPr="004B3CCE">
        <w:rPr>
          <w:sz w:val="24"/>
          <w:szCs w:val="24"/>
        </w:rPr>
        <w:t xml:space="preserve"> </w:t>
      </w:r>
      <w:r w:rsidR="001A4A5C">
        <w:rPr>
          <w:sz w:val="24"/>
          <w:szCs w:val="24"/>
        </w:rPr>
        <w:t>Local</w:t>
      </w:r>
      <w:r w:rsidR="004B3CCE" w:rsidRPr="00864565">
        <w:rPr>
          <w:sz w:val="24"/>
          <w:szCs w:val="24"/>
        </w:rPr>
        <w:t xml:space="preserve"> </w:t>
      </w:r>
      <w:r w:rsidR="001A4A5C">
        <w:rPr>
          <w:sz w:val="24"/>
          <w:szCs w:val="24"/>
        </w:rPr>
        <w:t>Authorities</w:t>
      </w:r>
      <w:r w:rsidR="004B3CCE" w:rsidRPr="00864565">
        <w:rPr>
          <w:sz w:val="24"/>
          <w:szCs w:val="24"/>
        </w:rPr>
        <w:t xml:space="preserve"> should use the official postal address. Exceptionally, where this is not available, </w:t>
      </w:r>
      <w:r w:rsidR="001A4A5C">
        <w:rPr>
          <w:sz w:val="24"/>
          <w:szCs w:val="24"/>
        </w:rPr>
        <w:t>Local</w:t>
      </w:r>
      <w:r w:rsidR="004B3CCE" w:rsidRPr="00864565">
        <w:rPr>
          <w:sz w:val="24"/>
          <w:szCs w:val="24"/>
        </w:rPr>
        <w:t xml:space="preserve"> </w:t>
      </w:r>
      <w:r w:rsidR="001A4A5C">
        <w:rPr>
          <w:sz w:val="24"/>
          <w:szCs w:val="24"/>
        </w:rPr>
        <w:t>Authorities</w:t>
      </w:r>
      <w:r w:rsidR="004B3CCE" w:rsidRPr="00864565">
        <w:rPr>
          <w:sz w:val="24"/>
          <w:szCs w:val="24"/>
        </w:rPr>
        <w:t xml:space="preserve"> should use the address they hold for the asset.</w:t>
      </w:r>
    </w:p>
    <w:p w:rsidR="00864565" w:rsidRPr="00864565" w:rsidRDefault="00864565" w:rsidP="004B3CCE">
      <w:pPr>
        <w:pStyle w:val="NoSpacing"/>
        <w:numPr>
          <w:ilvl w:val="0"/>
          <w:numId w:val="3"/>
        </w:numPr>
        <w:jc w:val="both"/>
        <w:rPr>
          <w:sz w:val="24"/>
          <w:szCs w:val="24"/>
        </w:rPr>
      </w:pPr>
      <w:r w:rsidRPr="00864565">
        <w:rPr>
          <w:sz w:val="24"/>
          <w:szCs w:val="24"/>
        </w:rPr>
        <w:t xml:space="preserve">post town </w:t>
      </w:r>
    </w:p>
    <w:p w:rsidR="00864565" w:rsidRPr="00864565" w:rsidRDefault="00864565" w:rsidP="004B3CCE">
      <w:pPr>
        <w:pStyle w:val="NoSpacing"/>
        <w:numPr>
          <w:ilvl w:val="0"/>
          <w:numId w:val="3"/>
        </w:numPr>
        <w:jc w:val="both"/>
        <w:rPr>
          <w:sz w:val="24"/>
          <w:szCs w:val="24"/>
        </w:rPr>
      </w:pPr>
      <w:r w:rsidRPr="00864565">
        <w:rPr>
          <w:sz w:val="24"/>
          <w:szCs w:val="24"/>
        </w:rPr>
        <w:t xml:space="preserve">United Kingdom postcode </w:t>
      </w:r>
    </w:p>
    <w:p w:rsidR="00864565" w:rsidRPr="00864565" w:rsidRDefault="00864565" w:rsidP="004B3CCE">
      <w:pPr>
        <w:pStyle w:val="NoSpacing"/>
        <w:numPr>
          <w:ilvl w:val="0"/>
          <w:numId w:val="3"/>
        </w:numPr>
        <w:jc w:val="both"/>
        <w:rPr>
          <w:sz w:val="24"/>
          <w:szCs w:val="24"/>
        </w:rPr>
      </w:pPr>
      <w:proofErr w:type="gramStart"/>
      <w:r w:rsidRPr="00864565">
        <w:rPr>
          <w:sz w:val="24"/>
          <w:szCs w:val="24"/>
        </w:rPr>
        <w:lastRenderedPageBreak/>
        <w:t>map</w:t>
      </w:r>
      <w:proofErr w:type="gramEnd"/>
      <w:r w:rsidRPr="00864565">
        <w:rPr>
          <w:sz w:val="24"/>
          <w:szCs w:val="24"/>
        </w:rPr>
        <w:t xml:space="preserve"> reference – </w:t>
      </w:r>
      <w:r w:rsidR="001A4A5C">
        <w:rPr>
          <w:sz w:val="24"/>
          <w:szCs w:val="24"/>
        </w:rPr>
        <w:t>Local</w:t>
      </w:r>
      <w:r w:rsidRPr="00864565">
        <w:rPr>
          <w:sz w:val="24"/>
          <w:szCs w:val="24"/>
        </w:rPr>
        <w:t xml:space="preserve"> </w:t>
      </w:r>
      <w:r w:rsidR="001A4A5C">
        <w:rPr>
          <w:sz w:val="24"/>
          <w:szCs w:val="24"/>
        </w:rPr>
        <w:t>Authorities</w:t>
      </w:r>
      <w:r w:rsidRPr="00864565">
        <w:rPr>
          <w:sz w:val="24"/>
          <w:szCs w:val="24"/>
        </w:rPr>
        <w:t xml:space="preserve"> may use either Ordnance Survey or ISO 6709 systems to identify the location of an asset, but must make clear which is being used. Where an Ordnance Survey mapping system is used (the grid system) then assets will be identified using Eastings before Northings. Where geocoding in accordance with ISO 6709 is being used to identify the centre point of the asset location then that reference must indicate its ISO coordinates </w:t>
      </w:r>
    </w:p>
    <w:p w:rsidR="00864565" w:rsidRPr="00864565" w:rsidRDefault="00864565" w:rsidP="004B3CCE">
      <w:pPr>
        <w:pStyle w:val="NoSpacing"/>
        <w:numPr>
          <w:ilvl w:val="0"/>
          <w:numId w:val="3"/>
        </w:numPr>
        <w:jc w:val="both"/>
        <w:rPr>
          <w:sz w:val="24"/>
          <w:szCs w:val="24"/>
        </w:rPr>
      </w:pPr>
      <w:r w:rsidRPr="00864565">
        <w:rPr>
          <w:sz w:val="24"/>
          <w:szCs w:val="24"/>
        </w:rPr>
        <w:t xml:space="preserve">whether the </w:t>
      </w:r>
      <w:r w:rsidR="001A4A5C">
        <w:rPr>
          <w:sz w:val="24"/>
          <w:szCs w:val="24"/>
        </w:rPr>
        <w:t>Local</w:t>
      </w:r>
      <w:r w:rsidRPr="00864565">
        <w:rPr>
          <w:sz w:val="24"/>
          <w:szCs w:val="24"/>
        </w:rPr>
        <w:t xml:space="preserve"> </w:t>
      </w:r>
      <w:r w:rsidR="001A4A5C">
        <w:rPr>
          <w:sz w:val="24"/>
          <w:szCs w:val="24"/>
        </w:rPr>
        <w:t>Authority</w:t>
      </w:r>
      <w:r w:rsidRPr="00864565">
        <w:rPr>
          <w:sz w:val="24"/>
          <w:szCs w:val="24"/>
        </w:rPr>
        <w:t xml:space="preserve"> owns the freehold or a lease for the asset and for whichever category applies, the </w:t>
      </w:r>
      <w:r w:rsidR="001A4A5C">
        <w:rPr>
          <w:sz w:val="24"/>
          <w:szCs w:val="24"/>
        </w:rPr>
        <w:t>Local</w:t>
      </w:r>
      <w:r w:rsidRPr="00864565">
        <w:rPr>
          <w:sz w:val="24"/>
          <w:szCs w:val="24"/>
        </w:rPr>
        <w:t xml:space="preserve"> </w:t>
      </w:r>
      <w:r w:rsidR="001A4A5C">
        <w:rPr>
          <w:sz w:val="24"/>
          <w:szCs w:val="24"/>
        </w:rPr>
        <w:t>Authority</w:t>
      </w:r>
      <w:r w:rsidRPr="00864565">
        <w:rPr>
          <w:sz w:val="24"/>
          <w:szCs w:val="24"/>
        </w:rPr>
        <w:t xml:space="preserve"> must list all the characteristics that apply from the options given below: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i/>
          <w:iCs/>
          <w:sz w:val="24"/>
          <w:szCs w:val="24"/>
        </w:rPr>
        <w:t xml:space="preserve">for freehold assets: </w:t>
      </w:r>
    </w:p>
    <w:p w:rsidR="00864565" w:rsidRPr="00864565" w:rsidRDefault="00864565" w:rsidP="004B3CCE">
      <w:pPr>
        <w:pStyle w:val="NoSpacing"/>
        <w:numPr>
          <w:ilvl w:val="0"/>
          <w:numId w:val="3"/>
        </w:numPr>
        <w:jc w:val="both"/>
        <w:rPr>
          <w:sz w:val="24"/>
          <w:szCs w:val="24"/>
        </w:rPr>
      </w:pPr>
      <w:r w:rsidRPr="00864565">
        <w:rPr>
          <w:sz w:val="24"/>
          <w:szCs w:val="24"/>
        </w:rPr>
        <w:t xml:space="preserve">occupied by the </w:t>
      </w:r>
      <w:r w:rsidR="001A4A5C">
        <w:rPr>
          <w:sz w:val="24"/>
          <w:szCs w:val="24"/>
        </w:rPr>
        <w:t>Local</w:t>
      </w:r>
      <w:r w:rsidRPr="00864565">
        <w:rPr>
          <w:sz w:val="24"/>
          <w:szCs w:val="24"/>
        </w:rPr>
        <w:t xml:space="preserve"> </w:t>
      </w:r>
      <w:r w:rsidR="001A4A5C">
        <w:rPr>
          <w:sz w:val="24"/>
          <w:szCs w:val="24"/>
        </w:rPr>
        <w:t>Authority</w:t>
      </w:r>
      <w:r w:rsidRPr="00864565">
        <w:rPr>
          <w:sz w:val="24"/>
          <w:szCs w:val="24"/>
        </w:rPr>
        <w:t xml:space="preserve"> </w:t>
      </w:r>
    </w:p>
    <w:p w:rsidR="00864565" w:rsidRPr="00864565" w:rsidRDefault="00864565" w:rsidP="004B3CCE">
      <w:pPr>
        <w:pStyle w:val="NoSpacing"/>
        <w:numPr>
          <w:ilvl w:val="0"/>
          <w:numId w:val="3"/>
        </w:numPr>
        <w:jc w:val="both"/>
        <w:rPr>
          <w:sz w:val="24"/>
          <w:szCs w:val="24"/>
        </w:rPr>
      </w:pPr>
      <w:r w:rsidRPr="00864565">
        <w:rPr>
          <w:sz w:val="24"/>
          <w:szCs w:val="24"/>
        </w:rPr>
        <w:t xml:space="preserve">ground leasehold </w:t>
      </w:r>
    </w:p>
    <w:p w:rsidR="00864565" w:rsidRPr="00864565" w:rsidRDefault="00864565" w:rsidP="004B3CCE">
      <w:pPr>
        <w:pStyle w:val="NoSpacing"/>
        <w:numPr>
          <w:ilvl w:val="0"/>
          <w:numId w:val="3"/>
        </w:numPr>
        <w:jc w:val="both"/>
        <w:rPr>
          <w:sz w:val="24"/>
          <w:szCs w:val="24"/>
        </w:rPr>
      </w:pPr>
      <w:r w:rsidRPr="00864565">
        <w:rPr>
          <w:sz w:val="24"/>
          <w:szCs w:val="24"/>
        </w:rPr>
        <w:t xml:space="preserve">leasehold </w:t>
      </w:r>
    </w:p>
    <w:p w:rsidR="00864565" w:rsidRPr="00864565" w:rsidRDefault="00864565" w:rsidP="004B3CCE">
      <w:pPr>
        <w:pStyle w:val="NoSpacing"/>
        <w:numPr>
          <w:ilvl w:val="0"/>
          <w:numId w:val="3"/>
        </w:numPr>
        <w:jc w:val="both"/>
        <w:rPr>
          <w:sz w:val="24"/>
          <w:szCs w:val="24"/>
        </w:rPr>
      </w:pPr>
      <w:r w:rsidRPr="00864565">
        <w:rPr>
          <w:sz w:val="24"/>
          <w:szCs w:val="24"/>
        </w:rPr>
        <w:t xml:space="preserve">licence </w:t>
      </w:r>
    </w:p>
    <w:p w:rsidR="00864565" w:rsidRPr="00864565" w:rsidRDefault="00864565" w:rsidP="004B3CCE">
      <w:pPr>
        <w:pStyle w:val="NoSpacing"/>
        <w:numPr>
          <w:ilvl w:val="0"/>
          <w:numId w:val="3"/>
        </w:numPr>
        <w:jc w:val="both"/>
        <w:rPr>
          <w:sz w:val="24"/>
          <w:szCs w:val="24"/>
        </w:rPr>
      </w:pPr>
      <w:proofErr w:type="gramStart"/>
      <w:r w:rsidRPr="00864565">
        <w:rPr>
          <w:sz w:val="24"/>
          <w:szCs w:val="24"/>
        </w:rPr>
        <w:t>vacant</w:t>
      </w:r>
      <w:proofErr w:type="gramEnd"/>
      <w:r w:rsidRPr="00864565">
        <w:rPr>
          <w:sz w:val="24"/>
          <w:szCs w:val="24"/>
        </w:rPr>
        <w:t xml:space="preserve"> (for vacant properties, </w:t>
      </w:r>
      <w:r w:rsidR="001A4A5C">
        <w:rPr>
          <w:sz w:val="24"/>
          <w:szCs w:val="24"/>
        </w:rPr>
        <w:t>Local</w:t>
      </w:r>
      <w:r w:rsidRPr="00864565">
        <w:rPr>
          <w:sz w:val="24"/>
          <w:szCs w:val="24"/>
        </w:rPr>
        <w:t xml:space="preserve"> </w:t>
      </w:r>
      <w:r w:rsidR="001A4A5C">
        <w:rPr>
          <w:sz w:val="24"/>
          <w:szCs w:val="24"/>
        </w:rPr>
        <w:t>Authorities</w:t>
      </w:r>
      <w:r w:rsidRPr="00864565">
        <w:rPr>
          <w:sz w:val="24"/>
          <w:szCs w:val="24"/>
        </w:rPr>
        <w:t xml:space="preserve"> should not publish the full address details and should only publish the first part of the postcode).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Where a </w:t>
      </w:r>
      <w:r w:rsidR="001A4A5C">
        <w:rPr>
          <w:sz w:val="24"/>
          <w:szCs w:val="24"/>
        </w:rPr>
        <w:t>Local</w:t>
      </w:r>
      <w:r w:rsidRPr="00864565">
        <w:rPr>
          <w:sz w:val="24"/>
          <w:szCs w:val="24"/>
        </w:rPr>
        <w:t xml:space="preserve"> </w:t>
      </w:r>
      <w:r w:rsidR="001A4A5C">
        <w:rPr>
          <w:sz w:val="24"/>
          <w:szCs w:val="24"/>
        </w:rPr>
        <w:t>Authority</w:t>
      </w:r>
      <w:r w:rsidRPr="00864565">
        <w:rPr>
          <w:sz w:val="24"/>
          <w:szCs w:val="24"/>
        </w:rPr>
        <w:t xml:space="preserve"> feels unable to verify rights of way information, for example, it should add a short narrative explaining why it is unable to identify and verify the information. </w:t>
      </w:r>
    </w:p>
    <w:p w:rsidR="001A4A5C" w:rsidRDefault="001A4A5C" w:rsidP="00864565">
      <w:pPr>
        <w:pStyle w:val="NoSpacing"/>
        <w:jc w:val="both"/>
        <w:rPr>
          <w:i/>
          <w:iCs/>
          <w:sz w:val="24"/>
          <w:szCs w:val="24"/>
        </w:rPr>
      </w:pPr>
    </w:p>
    <w:p w:rsidR="00864565" w:rsidRPr="00864565" w:rsidRDefault="00864565" w:rsidP="00864565">
      <w:pPr>
        <w:pStyle w:val="NoSpacing"/>
        <w:jc w:val="both"/>
        <w:rPr>
          <w:sz w:val="24"/>
          <w:szCs w:val="24"/>
        </w:rPr>
      </w:pPr>
      <w:proofErr w:type="gramStart"/>
      <w:r w:rsidRPr="00864565">
        <w:rPr>
          <w:i/>
          <w:iCs/>
          <w:sz w:val="24"/>
          <w:szCs w:val="24"/>
        </w:rPr>
        <w:t>for</w:t>
      </w:r>
      <w:proofErr w:type="gramEnd"/>
      <w:r w:rsidRPr="00864565">
        <w:rPr>
          <w:i/>
          <w:iCs/>
          <w:sz w:val="24"/>
          <w:szCs w:val="24"/>
        </w:rPr>
        <w:t xml:space="preserve"> leasehold assets: </w:t>
      </w:r>
    </w:p>
    <w:p w:rsidR="00864565" w:rsidRPr="00864565" w:rsidRDefault="00864565" w:rsidP="004B3CCE">
      <w:pPr>
        <w:pStyle w:val="NoSpacing"/>
        <w:numPr>
          <w:ilvl w:val="0"/>
          <w:numId w:val="3"/>
        </w:numPr>
        <w:jc w:val="both"/>
        <w:rPr>
          <w:sz w:val="24"/>
          <w:szCs w:val="24"/>
        </w:rPr>
      </w:pPr>
      <w:r w:rsidRPr="00864565">
        <w:rPr>
          <w:sz w:val="24"/>
          <w:szCs w:val="24"/>
        </w:rPr>
        <w:t xml:space="preserve">occupied by the </w:t>
      </w:r>
      <w:r w:rsidR="001A4A5C">
        <w:rPr>
          <w:sz w:val="24"/>
          <w:szCs w:val="24"/>
        </w:rPr>
        <w:t>Local</w:t>
      </w:r>
      <w:r w:rsidRPr="00864565">
        <w:rPr>
          <w:sz w:val="24"/>
          <w:szCs w:val="24"/>
        </w:rPr>
        <w:t xml:space="preserve"> </w:t>
      </w:r>
      <w:r w:rsidR="001A4A5C">
        <w:rPr>
          <w:sz w:val="24"/>
          <w:szCs w:val="24"/>
        </w:rPr>
        <w:t>Authority</w:t>
      </w:r>
      <w:r w:rsidRPr="00864565">
        <w:rPr>
          <w:sz w:val="24"/>
          <w:szCs w:val="24"/>
        </w:rPr>
        <w:t xml:space="preserve"> </w:t>
      </w:r>
    </w:p>
    <w:p w:rsidR="00864565" w:rsidRPr="00864565" w:rsidRDefault="00864565" w:rsidP="004B3CCE">
      <w:pPr>
        <w:pStyle w:val="NoSpacing"/>
        <w:numPr>
          <w:ilvl w:val="0"/>
          <w:numId w:val="3"/>
        </w:numPr>
        <w:jc w:val="both"/>
        <w:rPr>
          <w:sz w:val="24"/>
          <w:szCs w:val="24"/>
        </w:rPr>
      </w:pPr>
      <w:r w:rsidRPr="00864565">
        <w:rPr>
          <w:sz w:val="24"/>
          <w:szCs w:val="24"/>
        </w:rPr>
        <w:t xml:space="preserve">ground leasehold </w:t>
      </w:r>
    </w:p>
    <w:p w:rsidR="00864565" w:rsidRPr="00864565" w:rsidRDefault="00864565" w:rsidP="004B3CCE">
      <w:pPr>
        <w:pStyle w:val="NoSpacing"/>
        <w:numPr>
          <w:ilvl w:val="0"/>
          <w:numId w:val="3"/>
        </w:numPr>
        <w:jc w:val="both"/>
        <w:rPr>
          <w:sz w:val="24"/>
          <w:szCs w:val="24"/>
        </w:rPr>
      </w:pPr>
      <w:r w:rsidRPr="00864565">
        <w:rPr>
          <w:sz w:val="24"/>
          <w:szCs w:val="24"/>
        </w:rPr>
        <w:t xml:space="preserve">sub leasehold </w:t>
      </w:r>
    </w:p>
    <w:p w:rsidR="00864565" w:rsidRPr="00864565" w:rsidRDefault="00864565" w:rsidP="004B3CCE">
      <w:pPr>
        <w:pStyle w:val="NoSpacing"/>
        <w:numPr>
          <w:ilvl w:val="0"/>
          <w:numId w:val="3"/>
        </w:numPr>
        <w:jc w:val="both"/>
        <w:rPr>
          <w:sz w:val="24"/>
          <w:szCs w:val="24"/>
        </w:rPr>
      </w:pPr>
      <w:r w:rsidRPr="00864565">
        <w:rPr>
          <w:sz w:val="24"/>
          <w:szCs w:val="24"/>
        </w:rPr>
        <w:t xml:space="preserve">licence.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i/>
          <w:iCs/>
          <w:sz w:val="24"/>
          <w:szCs w:val="24"/>
        </w:rPr>
        <w:t xml:space="preserve">for other assets: </w:t>
      </w:r>
    </w:p>
    <w:p w:rsidR="00864565" w:rsidRPr="00864565" w:rsidRDefault="00864565" w:rsidP="004B3CCE">
      <w:pPr>
        <w:pStyle w:val="NoSpacing"/>
        <w:numPr>
          <w:ilvl w:val="0"/>
          <w:numId w:val="3"/>
        </w:numPr>
        <w:jc w:val="both"/>
        <w:rPr>
          <w:sz w:val="24"/>
          <w:szCs w:val="24"/>
        </w:rPr>
      </w:pPr>
      <w:r w:rsidRPr="00864565">
        <w:rPr>
          <w:sz w:val="24"/>
          <w:szCs w:val="24"/>
        </w:rPr>
        <w:t xml:space="preserve">free text description </w:t>
      </w:r>
      <w:r w:rsidR="001A4A5C" w:rsidRPr="00864565">
        <w:rPr>
          <w:sz w:val="24"/>
          <w:szCs w:val="24"/>
        </w:rPr>
        <w:t>e.g.</w:t>
      </w:r>
      <w:r w:rsidR="001A4A5C">
        <w:rPr>
          <w:sz w:val="24"/>
          <w:szCs w:val="24"/>
        </w:rPr>
        <w:t xml:space="preserve"> rights of way, access etc</w:t>
      </w:r>
    </w:p>
    <w:p w:rsidR="00864565" w:rsidRPr="00864565" w:rsidRDefault="00864565" w:rsidP="004B3CCE">
      <w:pPr>
        <w:pStyle w:val="NoSpacing"/>
        <w:numPr>
          <w:ilvl w:val="0"/>
          <w:numId w:val="3"/>
        </w:numPr>
        <w:jc w:val="both"/>
        <w:rPr>
          <w:sz w:val="24"/>
          <w:szCs w:val="24"/>
        </w:rPr>
      </w:pPr>
      <w:r w:rsidRPr="00864565">
        <w:rPr>
          <w:sz w:val="24"/>
          <w:szCs w:val="24"/>
        </w:rPr>
        <w:t xml:space="preserve">whether or not the asset is land only (i.e. without permanent buildings) or it is land with a permanent building.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Grants to voluntary, community and social enterprise organisations </w:t>
      </w: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publish details of all grants to voluntary, community and social enterprise organisations. This can be achieved by either: </w:t>
      </w:r>
    </w:p>
    <w:p w:rsidR="00864565" w:rsidRPr="00864565" w:rsidRDefault="00864565" w:rsidP="004B3CCE">
      <w:pPr>
        <w:pStyle w:val="NoSpacing"/>
        <w:numPr>
          <w:ilvl w:val="0"/>
          <w:numId w:val="3"/>
        </w:numPr>
        <w:jc w:val="both"/>
        <w:rPr>
          <w:sz w:val="24"/>
          <w:szCs w:val="24"/>
        </w:rPr>
      </w:pPr>
      <w:r w:rsidRPr="00864565">
        <w:rPr>
          <w:sz w:val="24"/>
          <w:szCs w:val="24"/>
        </w:rPr>
        <w:t xml:space="preserve">tagging and hence specifically identifying transactions which relate to voluntary, community and social enterprise organisations within published data on expenditure over £500 or published procurement information, or </w:t>
      </w:r>
    </w:p>
    <w:p w:rsidR="00864565" w:rsidRPr="00864565" w:rsidRDefault="00864565" w:rsidP="004B3CCE">
      <w:pPr>
        <w:pStyle w:val="NoSpacing"/>
        <w:numPr>
          <w:ilvl w:val="0"/>
          <w:numId w:val="3"/>
        </w:numPr>
        <w:jc w:val="both"/>
        <w:rPr>
          <w:sz w:val="24"/>
          <w:szCs w:val="24"/>
        </w:rPr>
      </w:pPr>
      <w:r w:rsidRPr="00864565">
        <w:rPr>
          <w:sz w:val="24"/>
          <w:szCs w:val="24"/>
        </w:rPr>
        <w:t xml:space="preserve">by publishing a separate list or register.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For each identified grant, the following information must be published as a minimum: </w:t>
      </w:r>
    </w:p>
    <w:p w:rsidR="00864565" w:rsidRPr="00864565" w:rsidRDefault="00864565" w:rsidP="004B3CCE">
      <w:pPr>
        <w:pStyle w:val="NoSpacing"/>
        <w:numPr>
          <w:ilvl w:val="0"/>
          <w:numId w:val="3"/>
        </w:numPr>
        <w:jc w:val="both"/>
        <w:rPr>
          <w:sz w:val="24"/>
          <w:szCs w:val="24"/>
        </w:rPr>
      </w:pPr>
      <w:r w:rsidRPr="00864565">
        <w:rPr>
          <w:sz w:val="24"/>
          <w:szCs w:val="24"/>
        </w:rPr>
        <w:t xml:space="preserve">date the grant was awarded </w:t>
      </w:r>
    </w:p>
    <w:p w:rsidR="00864565" w:rsidRPr="00864565" w:rsidRDefault="00864565" w:rsidP="004B3CCE">
      <w:pPr>
        <w:pStyle w:val="NoSpacing"/>
        <w:numPr>
          <w:ilvl w:val="0"/>
          <w:numId w:val="3"/>
        </w:numPr>
        <w:jc w:val="both"/>
        <w:rPr>
          <w:sz w:val="24"/>
          <w:szCs w:val="24"/>
        </w:rPr>
      </w:pPr>
      <w:r w:rsidRPr="00864565">
        <w:rPr>
          <w:sz w:val="24"/>
          <w:szCs w:val="24"/>
        </w:rPr>
        <w:t xml:space="preserve">time period for which the grant has been given </w:t>
      </w:r>
    </w:p>
    <w:p w:rsidR="00864565" w:rsidRPr="00864565" w:rsidRDefault="001A4A5C" w:rsidP="004B3CCE">
      <w:pPr>
        <w:pStyle w:val="NoSpacing"/>
        <w:numPr>
          <w:ilvl w:val="0"/>
          <w:numId w:val="3"/>
        </w:numPr>
        <w:jc w:val="both"/>
        <w:rPr>
          <w:sz w:val="24"/>
          <w:szCs w:val="24"/>
        </w:rPr>
      </w:pPr>
      <w:r>
        <w:rPr>
          <w:sz w:val="24"/>
          <w:szCs w:val="24"/>
        </w:rPr>
        <w:t>Local</w:t>
      </w:r>
      <w:r w:rsidR="00864565" w:rsidRPr="00864565">
        <w:rPr>
          <w:sz w:val="24"/>
          <w:szCs w:val="24"/>
        </w:rPr>
        <w:t xml:space="preserve"> </w:t>
      </w:r>
      <w:r>
        <w:rPr>
          <w:sz w:val="24"/>
          <w:szCs w:val="24"/>
        </w:rPr>
        <w:t>Authority</w:t>
      </w:r>
      <w:r w:rsidR="00864565" w:rsidRPr="00864565">
        <w:rPr>
          <w:sz w:val="24"/>
          <w:szCs w:val="24"/>
        </w:rPr>
        <w:t xml:space="preserve"> department which awarded the grant </w:t>
      </w:r>
    </w:p>
    <w:p w:rsidR="00864565" w:rsidRPr="00864565" w:rsidRDefault="00864565" w:rsidP="004B3CCE">
      <w:pPr>
        <w:pStyle w:val="NoSpacing"/>
        <w:numPr>
          <w:ilvl w:val="0"/>
          <w:numId w:val="3"/>
        </w:numPr>
        <w:jc w:val="both"/>
        <w:rPr>
          <w:sz w:val="24"/>
          <w:szCs w:val="24"/>
        </w:rPr>
      </w:pPr>
      <w:r w:rsidRPr="00864565">
        <w:rPr>
          <w:sz w:val="24"/>
          <w:szCs w:val="24"/>
        </w:rPr>
        <w:t xml:space="preserve">beneficiary </w:t>
      </w:r>
    </w:p>
    <w:p w:rsidR="00864565" w:rsidRPr="00864565" w:rsidRDefault="00864565" w:rsidP="004B3CCE">
      <w:pPr>
        <w:pStyle w:val="NoSpacing"/>
        <w:numPr>
          <w:ilvl w:val="0"/>
          <w:numId w:val="3"/>
        </w:numPr>
        <w:jc w:val="both"/>
        <w:rPr>
          <w:sz w:val="24"/>
          <w:szCs w:val="24"/>
        </w:rPr>
      </w:pPr>
      <w:r w:rsidRPr="00864565">
        <w:rPr>
          <w:sz w:val="24"/>
          <w:szCs w:val="24"/>
        </w:rPr>
        <w:t>beneficiary’s registration number</w:t>
      </w:r>
      <w:r w:rsidR="004B3CCE" w:rsidRPr="004B3CCE">
        <w:t xml:space="preserve"> </w:t>
      </w:r>
      <w:r w:rsidR="004B3CCE">
        <w:t xml:space="preserve">this might be the company or charity registration number.  </w:t>
      </w:r>
    </w:p>
    <w:p w:rsidR="00864565" w:rsidRPr="00864565" w:rsidRDefault="00864565" w:rsidP="004B3CCE">
      <w:pPr>
        <w:pStyle w:val="NoSpacing"/>
        <w:numPr>
          <w:ilvl w:val="0"/>
          <w:numId w:val="3"/>
        </w:numPr>
        <w:jc w:val="both"/>
        <w:rPr>
          <w:sz w:val="24"/>
          <w:szCs w:val="24"/>
        </w:rPr>
      </w:pPr>
      <w:r w:rsidRPr="00864565">
        <w:rPr>
          <w:sz w:val="24"/>
          <w:szCs w:val="24"/>
        </w:rPr>
        <w:t xml:space="preserve">summary of the purpose of the grant, and </w:t>
      </w:r>
    </w:p>
    <w:p w:rsidR="00864565" w:rsidRPr="00864565" w:rsidRDefault="00864565" w:rsidP="004B3CCE">
      <w:pPr>
        <w:pStyle w:val="NoSpacing"/>
        <w:numPr>
          <w:ilvl w:val="0"/>
          <w:numId w:val="3"/>
        </w:numPr>
        <w:jc w:val="both"/>
        <w:rPr>
          <w:sz w:val="24"/>
          <w:szCs w:val="24"/>
        </w:rPr>
      </w:pPr>
      <w:r w:rsidRPr="00864565">
        <w:rPr>
          <w:sz w:val="24"/>
          <w:szCs w:val="24"/>
        </w:rPr>
        <w:lastRenderedPageBreak/>
        <w:t xml:space="preserve">amount.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Organisation chart </w:t>
      </w:r>
    </w:p>
    <w:p w:rsidR="00864565" w:rsidRPr="00864565" w:rsidRDefault="00864565" w:rsidP="00864565">
      <w:pPr>
        <w:pStyle w:val="NoSpacing"/>
        <w:jc w:val="both"/>
        <w:rPr>
          <w:sz w:val="24"/>
          <w:szCs w:val="24"/>
        </w:rPr>
      </w:pPr>
      <w:r w:rsidRPr="00864565">
        <w:rPr>
          <w:sz w:val="24"/>
          <w:szCs w:val="24"/>
        </w:rPr>
        <w:t xml:space="preserve"> </w:t>
      </w:r>
      <w:r w:rsidR="001A4A5C">
        <w:rPr>
          <w:sz w:val="24"/>
          <w:szCs w:val="24"/>
        </w:rPr>
        <w:t>Local</w:t>
      </w:r>
      <w:r w:rsidRPr="00864565">
        <w:rPr>
          <w:sz w:val="24"/>
          <w:szCs w:val="24"/>
        </w:rPr>
        <w:t xml:space="preserve"> </w:t>
      </w:r>
      <w:r w:rsidR="001A4A5C">
        <w:rPr>
          <w:sz w:val="24"/>
          <w:szCs w:val="24"/>
        </w:rPr>
        <w:t>Authorities</w:t>
      </w:r>
      <w:r w:rsidRPr="00864565">
        <w:rPr>
          <w:sz w:val="24"/>
          <w:szCs w:val="24"/>
        </w:rPr>
        <w:t xml:space="preserve"> must publish an organisation chart covering staff in the top three levels of the organisation. The following information must be included for each member of staff included in the chart: </w:t>
      </w:r>
    </w:p>
    <w:p w:rsidR="00864565" w:rsidRPr="00864565" w:rsidRDefault="00864565" w:rsidP="004B3CCE">
      <w:pPr>
        <w:pStyle w:val="NoSpacing"/>
        <w:numPr>
          <w:ilvl w:val="0"/>
          <w:numId w:val="3"/>
        </w:numPr>
        <w:jc w:val="both"/>
        <w:rPr>
          <w:sz w:val="24"/>
          <w:szCs w:val="24"/>
        </w:rPr>
      </w:pPr>
      <w:r w:rsidRPr="00864565">
        <w:rPr>
          <w:sz w:val="24"/>
          <w:szCs w:val="24"/>
        </w:rPr>
        <w:t xml:space="preserve">grade </w:t>
      </w:r>
    </w:p>
    <w:p w:rsidR="00864565" w:rsidRPr="00864565" w:rsidRDefault="00864565" w:rsidP="004B3CCE">
      <w:pPr>
        <w:pStyle w:val="NoSpacing"/>
        <w:numPr>
          <w:ilvl w:val="0"/>
          <w:numId w:val="3"/>
        </w:numPr>
        <w:jc w:val="both"/>
        <w:rPr>
          <w:sz w:val="24"/>
          <w:szCs w:val="24"/>
        </w:rPr>
      </w:pPr>
      <w:r w:rsidRPr="00864565">
        <w:rPr>
          <w:sz w:val="24"/>
          <w:szCs w:val="24"/>
        </w:rPr>
        <w:t xml:space="preserve">job title </w:t>
      </w:r>
    </w:p>
    <w:p w:rsidR="00864565" w:rsidRPr="00864565" w:rsidRDefault="001A4A5C" w:rsidP="004B3CCE">
      <w:pPr>
        <w:pStyle w:val="NoSpacing"/>
        <w:numPr>
          <w:ilvl w:val="0"/>
          <w:numId w:val="3"/>
        </w:numPr>
        <w:jc w:val="both"/>
        <w:rPr>
          <w:sz w:val="24"/>
          <w:szCs w:val="24"/>
        </w:rPr>
      </w:pPr>
      <w:r>
        <w:rPr>
          <w:sz w:val="24"/>
          <w:szCs w:val="24"/>
        </w:rPr>
        <w:t>Local</w:t>
      </w:r>
      <w:r w:rsidR="00864565" w:rsidRPr="00864565">
        <w:rPr>
          <w:sz w:val="24"/>
          <w:szCs w:val="24"/>
        </w:rPr>
        <w:t xml:space="preserve"> </w:t>
      </w:r>
      <w:r>
        <w:rPr>
          <w:sz w:val="24"/>
          <w:szCs w:val="24"/>
        </w:rPr>
        <w:t>Authority</w:t>
      </w:r>
      <w:r w:rsidR="00864565" w:rsidRPr="00864565">
        <w:rPr>
          <w:sz w:val="24"/>
          <w:szCs w:val="24"/>
        </w:rPr>
        <w:t xml:space="preserve"> department and team </w:t>
      </w:r>
    </w:p>
    <w:p w:rsidR="00864565" w:rsidRPr="00864565" w:rsidRDefault="00864565" w:rsidP="004B3CCE">
      <w:pPr>
        <w:pStyle w:val="NoSpacing"/>
        <w:numPr>
          <w:ilvl w:val="0"/>
          <w:numId w:val="3"/>
        </w:numPr>
        <w:jc w:val="both"/>
        <w:rPr>
          <w:sz w:val="24"/>
          <w:szCs w:val="24"/>
        </w:rPr>
      </w:pPr>
      <w:r w:rsidRPr="00864565">
        <w:rPr>
          <w:sz w:val="24"/>
          <w:szCs w:val="24"/>
        </w:rPr>
        <w:t xml:space="preserve">whether permanent or temporary staff </w:t>
      </w:r>
    </w:p>
    <w:p w:rsidR="00864565" w:rsidRPr="00864565" w:rsidRDefault="00864565" w:rsidP="004B3CCE">
      <w:pPr>
        <w:pStyle w:val="NoSpacing"/>
        <w:numPr>
          <w:ilvl w:val="0"/>
          <w:numId w:val="3"/>
        </w:numPr>
        <w:jc w:val="both"/>
        <w:rPr>
          <w:sz w:val="24"/>
          <w:szCs w:val="24"/>
        </w:rPr>
      </w:pPr>
      <w:r w:rsidRPr="00864565">
        <w:rPr>
          <w:sz w:val="24"/>
          <w:szCs w:val="24"/>
        </w:rPr>
        <w:t xml:space="preserve">contact details </w:t>
      </w:r>
    </w:p>
    <w:p w:rsidR="00864565" w:rsidRPr="004B3CCE" w:rsidRDefault="00864565" w:rsidP="004B3CCE">
      <w:pPr>
        <w:pStyle w:val="NoSpacing"/>
        <w:numPr>
          <w:ilvl w:val="0"/>
          <w:numId w:val="3"/>
        </w:numPr>
        <w:jc w:val="both"/>
        <w:rPr>
          <w:sz w:val="24"/>
          <w:szCs w:val="24"/>
        </w:rPr>
      </w:pPr>
      <w:r w:rsidRPr="00864565">
        <w:rPr>
          <w:sz w:val="24"/>
          <w:szCs w:val="24"/>
        </w:rPr>
        <w:t xml:space="preserve">salary in £5,000 brackets, </w:t>
      </w:r>
      <w:r w:rsidR="004B3CCE">
        <w:rPr>
          <w:sz w:val="24"/>
          <w:szCs w:val="24"/>
        </w:rPr>
        <w:t>t</w:t>
      </w:r>
      <w:r w:rsidR="004B3CCE" w:rsidRPr="004B3CCE">
        <w:rPr>
          <w:sz w:val="24"/>
          <w:szCs w:val="24"/>
        </w:rPr>
        <w:t xml:space="preserve">his should exclude staff whose salary does not exceed £50,000.  </w:t>
      </w:r>
    </w:p>
    <w:p w:rsidR="00864565" w:rsidRPr="00864565" w:rsidRDefault="00864565" w:rsidP="004B3CCE">
      <w:pPr>
        <w:pStyle w:val="NoSpacing"/>
        <w:numPr>
          <w:ilvl w:val="0"/>
          <w:numId w:val="3"/>
        </w:numPr>
        <w:jc w:val="both"/>
        <w:rPr>
          <w:sz w:val="24"/>
          <w:szCs w:val="24"/>
        </w:rPr>
      </w:pPr>
      <w:r w:rsidRPr="00864565">
        <w:rPr>
          <w:sz w:val="24"/>
          <w:szCs w:val="24"/>
        </w:rPr>
        <w:t xml:space="preserve">salary ceiling (the maximum salary for the grade).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Trade union facility time </w:t>
      </w: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publish the following information on trade union facility time: </w:t>
      </w:r>
    </w:p>
    <w:p w:rsidR="00864565" w:rsidRPr="00864565" w:rsidRDefault="00864565" w:rsidP="004B3CCE">
      <w:pPr>
        <w:pStyle w:val="NoSpacing"/>
        <w:numPr>
          <w:ilvl w:val="0"/>
          <w:numId w:val="3"/>
        </w:numPr>
        <w:jc w:val="both"/>
        <w:rPr>
          <w:sz w:val="24"/>
          <w:szCs w:val="24"/>
        </w:rPr>
      </w:pPr>
      <w:r w:rsidRPr="00864565">
        <w:rPr>
          <w:sz w:val="24"/>
          <w:szCs w:val="24"/>
        </w:rPr>
        <w:t xml:space="preserve">total number (absolute number and full time equivalent) of staff who are union representatives (including general, learning and health and safety representatives) </w:t>
      </w:r>
    </w:p>
    <w:p w:rsidR="00864565" w:rsidRPr="00864565" w:rsidRDefault="00864565" w:rsidP="004B3CCE">
      <w:pPr>
        <w:pStyle w:val="NoSpacing"/>
        <w:numPr>
          <w:ilvl w:val="0"/>
          <w:numId w:val="3"/>
        </w:numPr>
        <w:jc w:val="both"/>
        <w:rPr>
          <w:sz w:val="24"/>
          <w:szCs w:val="24"/>
        </w:rPr>
      </w:pPr>
      <w:r w:rsidRPr="00864565">
        <w:rPr>
          <w:sz w:val="24"/>
          <w:szCs w:val="24"/>
        </w:rPr>
        <w:t xml:space="preserve">total number (absolute number and full time equivalent) of union representatives who devote at least 50 per cent of their time to union duties </w:t>
      </w:r>
    </w:p>
    <w:p w:rsidR="00864565" w:rsidRPr="00864565" w:rsidRDefault="00864565" w:rsidP="004B3CCE">
      <w:pPr>
        <w:pStyle w:val="NoSpacing"/>
        <w:numPr>
          <w:ilvl w:val="0"/>
          <w:numId w:val="3"/>
        </w:numPr>
        <w:jc w:val="both"/>
        <w:rPr>
          <w:sz w:val="24"/>
          <w:szCs w:val="24"/>
        </w:rPr>
      </w:pPr>
      <w:r w:rsidRPr="00864565">
        <w:rPr>
          <w:sz w:val="24"/>
          <w:szCs w:val="24"/>
        </w:rPr>
        <w:t xml:space="preserve">names of all trade unions represented in the </w:t>
      </w:r>
      <w:r w:rsidR="001A4A5C">
        <w:rPr>
          <w:sz w:val="24"/>
          <w:szCs w:val="24"/>
        </w:rPr>
        <w:t>Local</w:t>
      </w:r>
      <w:r w:rsidRPr="00864565">
        <w:rPr>
          <w:sz w:val="24"/>
          <w:szCs w:val="24"/>
        </w:rPr>
        <w:t xml:space="preserve"> </w:t>
      </w:r>
      <w:r w:rsidR="001A4A5C">
        <w:rPr>
          <w:sz w:val="24"/>
          <w:szCs w:val="24"/>
        </w:rPr>
        <w:t>Authority</w:t>
      </w:r>
      <w:r w:rsidRPr="00864565">
        <w:rPr>
          <w:sz w:val="24"/>
          <w:szCs w:val="24"/>
        </w:rPr>
        <w:t xml:space="preserve"> </w:t>
      </w:r>
    </w:p>
    <w:p w:rsidR="00864565" w:rsidRPr="00864565" w:rsidRDefault="00864565" w:rsidP="004B3CCE">
      <w:pPr>
        <w:pStyle w:val="NoSpacing"/>
        <w:numPr>
          <w:ilvl w:val="0"/>
          <w:numId w:val="3"/>
        </w:numPr>
        <w:jc w:val="both"/>
        <w:rPr>
          <w:sz w:val="24"/>
          <w:szCs w:val="24"/>
        </w:rPr>
      </w:pPr>
      <w:r w:rsidRPr="00864565">
        <w:rPr>
          <w:sz w:val="24"/>
          <w:szCs w:val="24"/>
        </w:rPr>
        <w:t xml:space="preserve">a basic estimate of spending on unions (calculated as the number of full time equivalent days spent on union duties multiplied by the average salary), and </w:t>
      </w:r>
    </w:p>
    <w:p w:rsidR="00864565" w:rsidRPr="00864565" w:rsidRDefault="00864565" w:rsidP="004B3CCE">
      <w:pPr>
        <w:pStyle w:val="NoSpacing"/>
        <w:numPr>
          <w:ilvl w:val="0"/>
          <w:numId w:val="3"/>
        </w:numPr>
        <w:jc w:val="both"/>
        <w:rPr>
          <w:sz w:val="24"/>
          <w:szCs w:val="24"/>
        </w:rPr>
      </w:pPr>
      <w:proofErr w:type="gramStart"/>
      <w:r w:rsidRPr="00864565">
        <w:rPr>
          <w:sz w:val="24"/>
          <w:szCs w:val="24"/>
        </w:rPr>
        <w:t>a</w:t>
      </w:r>
      <w:proofErr w:type="gramEnd"/>
      <w:r w:rsidRPr="00864565">
        <w:rPr>
          <w:sz w:val="24"/>
          <w:szCs w:val="24"/>
        </w:rPr>
        <w:t xml:space="preserve"> basic estimate of spending on unions as a percentage of the total pay bill (calculated as the number of full time equivalent days spent on union duties multiplied by the average salary divided by the total pay bill).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Parking account </w:t>
      </w:r>
    </w:p>
    <w:p w:rsidR="00864565" w:rsidRPr="00864565" w:rsidRDefault="00864565" w:rsidP="00864565">
      <w:pPr>
        <w:pStyle w:val="NoSpacing"/>
        <w:jc w:val="both"/>
        <w:rPr>
          <w:sz w:val="24"/>
          <w:szCs w:val="24"/>
        </w:rPr>
      </w:pPr>
      <w:r w:rsidRPr="00864565">
        <w:rPr>
          <w:sz w:val="24"/>
          <w:szCs w:val="24"/>
        </w:rPr>
        <w:t xml:space="preserve"> </w:t>
      </w:r>
      <w:r w:rsidR="001A4A5C">
        <w:rPr>
          <w:sz w:val="24"/>
          <w:szCs w:val="24"/>
        </w:rPr>
        <w:t>Local</w:t>
      </w:r>
      <w:r w:rsidRPr="00864565">
        <w:rPr>
          <w:sz w:val="24"/>
          <w:szCs w:val="24"/>
        </w:rPr>
        <w:t xml:space="preserve"> </w:t>
      </w:r>
      <w:r w:rsidR="001A4A5C">
        <w:rPr>
          <w:sz w:val="24"/>
          <w:szCs w:val="24"/>
        </w:rPr>
        <w:t>Authorities</w:t>
      </w:r>
      <w:r w:rsidRPr="00864565">
        <w:rPr>
          <w:sz w:val="24"/>
          <w:szCs w:val="24"/>
        </w:rPr>
        <w:t xml:space="preserve"> must publish on their website, or place a link on their website to this data if published elsewhere: </w:t>
      </w:r>
    </w:p>
    <w:p w:rsidR="00864565" w:rsidRPr="00864565" w:rsidRDefault="00864565" w:rsidP="004B3CCE">
      <w:pPr>
        <w:pStyle w:val="NoSpacing"/>
        <w:numPr>
          <w:ilvl w:val="0"/>
          <w:numId w:val="3"/>
        </w:numPr>
        <w:jc w:val="both"/>
        <w:rPr>
          <w:sz w:val="24"/>
          <w:szCs w:val="24"/>
        </w:rPr>
      </w:pPr>
      <w:proofErr w:type="gramStart"/>
      <w:r w:rsidRPr="00864565">
        <w:rPr>
          <w:sz w:val="24"/>
          <w:szCs w:val="24"/>
        </w:rPr>
        <w:t>a</w:t>
      </w:r>
      <w:proofErr w:type="gramEnd"/>
      <w:r w:rsidRPr="00864565">
        <w:rPr>
          <w:sz w:val="24"/>
          <w:szCs w:val="24"/>
        </w:rPr>
        <w:t xml:space="preserve"> breakdown of income and expenditure on the </w:t>
      </w:r>
      <w:r w:rsidR="001A4A5C">
        <w:rPr>
          <w:sz w:val="24"/>
          <w:szCs w:val="24"/>
        </w:rPr>
        <w:t>Authority</w:t>
      </w:r>
      <w:r w:rsidRPr="00864565">
        <w:rPr>
          <w:sz w:val="24"/>
          <w:szCs w:val="24"/>
        </w:rPr>
        <w:t xml:space="preserve">’s parking account26, 27. The breakdown of income must include details of revenue collected from on-street parking, off-street parking and Penalty Charge Notices, and </w:t>
      </w:r>
    </w:p>
    <w:p w:rsidR="00864565" w:rsidRPr="00864565" w:rsidRDefault="00864565" w:rsidP="004B3CCE">
      <w:pPr>
        <w:pStyle w:val="NoSpacing"/>
        <w:numPr>
          <w:ilvl w:val="0"/>
          <w:numId w:val="3"/>
        </w:numPr>
        <w:jc w:val="both"/>
        <w:rPr>
          <w:sz w:val="24"/>
          <w:szCs w:val="24"/>
        </w:rPr>
      </w:pPr>
      <w:proofErr w:type="gramStart"/>
      <w:r w:rsidRPr="00864565">
        <w:rPr>
          <w:sz w:val="24"/>
          <w:szCs w:val="24"/>
        </w:rPr>
        <w:t>a</w:t>
      </w:r>
      <w:proofErr w:type="gramEnd"/>
      <w:r w:rsidRPr="00864565">
        <w:rPr>
          <w:sz w:val="24"/>
          <w:szCs w:val="24"/>
        </w:rPr>
        <w:t xml:space="preserve"> breakdown of how the </w:t>
      </w:r>
      <w:r w:rsidR="001A4A5C">
        <w:rPr>
          <w:sz w:val="24"/>
          <w:szCs w:val="24"/>
        </w:rPr>
        <w:t>Authority</w:t>
      </w:r>
      <w:r w:rsidRPr="00864565">
        <w:rPr>
          <w:sz w:val="24"/>
          <w:szCs w:val="24"/>
        </w:rPr>
        <w:t xml:space="preserve"> has spent a surplus on its parking account25,28.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A parking account kept under section 55 of the Road Traffic Regulation Act 1984 as modified by Regulation 25 of the Civil Enforcement of Parking Contraventions (England) General Regulations 2007. </w:t>
      </w:r>
    </w:p>
    <w:p w:rsidR="004B3CCE" w:rsidRDefault="004B3CCE" w:rsidP="00864565">
      <w:pPr>
        <w:pStyle w:val="NoSpacing"/>
        <w:jc w:val="both"/>
        <w:rPr>
          <w:b/>
          <w:bCs/>
          <w:sz w:val="24"/>
          <w:szCs w:val="24"/>
        </w:rPr>
      </w:pPr>
    </w:p>
    <w:p w:rsidR="00864565" w:rsidRPr="00864565" w:rsidRDefault="00864565" w:rsidP="00864565">
      <w:pPr>
        <w:pStyle w:val="NoSpacing"/>
        <w:jc w:val="both"/>
        <w:rPr>
          <w:sz w:val="24"/>
          <w:szCs w:val="24"/>
        </w:rPr>
      </w:pPr>
      <w:r w:rsidRPr="00864565">
        <w:rPr>
          <w:b/>
          <w:bCs/>
          <w:sz w:val="24"/>
          <w:szCs w:val="24"/>
        </w:rPr>
        <w:t xml:space="preserve">Parking spaces </w:t>
      </w: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publish the number of marked out controlled on and off-street parking spaces within their area, or an estimate of the number of spaces where controlled parking space is not marked out in individual parking bays or spaces. </w:t>
      </w:r>
    </w:p>
    <w:p w:rsid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Senior salaries </w:t>
      </w: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are already required to publish, under the Accounts and Audit (England) Regulations 2011 (Statutory Instrument 2011/817)29: </w:t>
      </w:r>
    </w:p>
    <w:p w:rsidR="00864565" w:rsidRPr="00864565" w:rsidRDefault="00864565" w:rsidP="004B3CCE">
      <w:pPr>
        <w:pStyle w:val="NoSpacing"/>
        <w:numPr>
          <w:ilvl w:val="0"/>
          <w:numId w:val="3"/>
        </w:numPr>
        <w:jc w:val="both"/>
        <w:rPr>
          <w:sz w:val="24"/>
          <w:szCs w:val="24"/>
        </w:rPr>
      </w:pPr>
      <w:r w:rsidRPr="00864565">
        <w:rPr>
          <w:sz w:val="24"/>
          <w:szCs w:val="24"/>
        </w:rPr>
        <w:lastRenderedPageBreak/>
        <w:t xml:space="preserve">the number of employees whose remuneration in that year was at least £50,000 in brackets of £5,000 </w:t>
      </w:r>
    </w:p>
    <w:p w:rsidR="00864565" w:rsidRPr="00864565" w:rsidRDefault="00864565" w:rsidP="004B3CCE">
      <w:pPr>
        <w:pStyle w:val="NoSpacing"/>
        <w:numPr>
          <w:ilvl w:val="0"/>
          <w:numId w:val="3"/>
        </w:numPr>
        <w:jc w:val="both"/>
        <w:rPr>
          <w:sz w:val="24"/>
          <w:szCs w:val="24"/>
        </w:rPr>
      </w:pPr>
      <w:r w:rsidRPr="00864565">
        <w:rPr>
          <w:sz w:val="24"/>
          <w:szCs w:val="24"/>
        </w:rPr>
        <w:t xml:space="preserve">details of remuneration and job title of certain senior employees whose salary is at least £50,000, and </w:t>
      </w:r>
    </w:p>
    <w:p w:rsidR="00864565" w:rsidRPr="00864565" w:rsidRDefault="00864565" w:rsidP="004B3CCE">
      <w:pPr>
        <w:pStyle w:val="NoSpacing"/>
        <w:numPr>
          <w:ilvl w:val="0"/>
          <w:numId w:val="3"/>
        </w:numPr>
        <w:jc w:val="both"/>
        <w:rPr>
          <w:sz w:val="24"/>
          <w:szCs w:val="24"/>
        </w:rPr>
      </w:pPr>
      <w:r w:rsidRPr="00864565">
        <w:rPr>
          <w:sz w:val="24"/>
          <w:szCs w:val="24"/>
        </w:rPr>
        <w:t xml:space="preserve">employees whose salaries are £150,000 or more must also be identified by name.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sz w:val="24"/>
          <w:szCs w:val="24"/>
        </w:rPr>
        <w:t xml:space="preserve">In addition to this requirement, </w:t>
      </w:r>
      <w:r w:rsidR="001A4A5C">
        <w:rPr>
          <w:sz w:val="24"/>
          <w:szCs w:val="24"/>
        </w:rPr>
        <w:t>Local</w:t>
      </w:r>
      <w:r w:rsidRPr="00864565">
        <w:rPr>
          <w:sz w:val="24"/>
          <w:szCs w:val="24"/>
        </w:rPr>
        <w:t xml:space="preserve"> </w:t>
      </w:r>
      <w:r w:rsidR="001A4A5C">
        <w:rPr>
          <w:sz w:val="24"/>
          <w:szCs w:val="24"/>
        </w:rPr>
        <w:t>Authorities</w:t>
      </w:r>
      <w:r w:rsidRPr="00864565">
        <w:rPr>
          <w:sz w:val="24"/>
          <w:szCs w:val="24"/>
        </w:rPr>
        <w:t xml:space="preserve"> must place a link on their website to these published data or place the data itself on their website, together with a list of responsibilities (for example, the services and functions they are responsible for, budget held and number of staff) and details of bonuses and ‘benefits-in-kind’, for all employees whose salary exceeds £50,000. The key differences between the requirements under this Code and the Regulations referred to above is the addition of a list of responsibilities, the inclusion of bonus details for all senior employees whose salary exceeds £50,000 and publication of the data on the </w:t>
      </w:r>
      <w:r w:rsidR="001A4A5C">
        <w:rPr>
          <w:sz w:val="24"/>
          <w:szCs w:val="24"/>
        </w:rPr>
        <w:t>Authority</w:t>
      </w:r>
      <w:r w:rsidRPr="00864565">
        <w:rPr>
          <w:sz w:val="24"/>
          <w:szCs w:val="24"/>
        </w:rPr>
        <w:t xml:space="preserve">’s website.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Constitution </w:t>
      </w: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are already required to make their Constitution available for inspection at their offices under section 9P of the </w:t>
      </w:r>
      <w:r>
        <w:rPr>
          <w:sz w:val="24"/>
          <w:szCs w:val="24"/>
        </w:rPr>
        <w:t>Local</w:t>
      </w:r>
      <w:r w:rsidR="00864565" w:rsidRPr="00864565">
        <w:rPr>
          <w:sz w:val="24"/>
          <w:szCs w:val="24"/>
        </w:rPr>
        <w:t xml:space="preserve"> Government Act 2000. </w:t>
      </w: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also, under this Code, publish their Constitution on their website.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Pay multiple </w:t>
      </w:r>
    </w:p>
    <w:p w:rsidR="00864565" w:rsidRPr="00864565" w:rsidRDefault="00864565" w:rsidP="00864565">
      <w:pPr>
        <w:pStyle w:val="NoSpacing"/>
        <w:jc w:val="both"/>
        <w:rPr>
          <w:sz w:val="24"/>
          <w:szCs w:val="24"/>
        </w:rPr>
      </w:pPr>
      <w:r w:rsidRPr="00864565">
        <w:rPr>
          <w:sz w:val="24"/>
          <w:szCs w:val="24"/>
        </w:rPr>
        <w:t xml:space="preserve">Section 38 of the </w:t>
      </w:r>
      <w:r w:rsidR="001A4A5C">
        <w:rPr>
          <w:sz w:val="24"/>
          <w:szCs w:val="24"/>
        </w:rPr>
        <w:t>Local</w:t>
      </w:r>
      <w:r w:rsidRPr="00864565">
        <w:rPr>
          <w:sz w:val="24"/>
          <w:szCs w:val="24"/>
        </w:rPr>
        <w:t xml:space="preserve">ism Act 2011 requires </w:t>
      </w:r>
      <w:r w:rsidR="001A4A5C">
        <w:rPr>
          <w:sz w:val="24"/>
          <w:szCs w:val="24"/>
        </w:rPr>
        <w:t>Local</w:t>
      </w:r>
      <w:r w:rsidRPr="00864565">
        <w:rPr>
          <w:sz w:val="24"/>
          <w:szCs w:val="24"/>
        </w:rPr>
        <w:t xml:space="preserve"> </w:t>
      </w:r>
      <w:r w:rsidR="001A4A5C">
        <w:rPr>
          <w:sz w:val="24"/>
          <w:szCs w:val="24"/>
        </w:rPr>
        <w:t>Authorities</w:t>
      </w:r>
      <w:r w:rsidRPr="00864565">
        <w:rPr>
          <w:sz w:val="24"/>
          <w:szCs w:val="24"/>
        </w:rPr>
        <w:t xml:space="preserve"> to produce Pay Policy Statements, which should include the </w:t>
      </w:r>
      <w:r w:rsidR="001A4A5C">
        <w:rPr>
          <w:sz w:val="24"/>
          <w:szCs w:val="24"/>
        </w:rPr>
        <w:t>Authority</w:t>
      </w:r>
      <w:r w:rsidRPr="00864565">
        <w:rPr>
          <w:sz w:val="24"/>
          <w:szCs w:val="24"/>
        </w:rPr>
        <w:t xml:space="preserve">’s policy on pay dispersion – the relationship between remuneration of chief officers and the remuneration of other staff. Guidance produced under section 40 of that Act30, recommends that the pay multiple is included in these statements as a way of illustrating the </w:t>
      </w:r>
      <w:r w:rsidR="001A4A5C">
        <w:rPr>
          <w:sz w:val="24"/>
          <w:szCs w:val="24"/>
        </w:rPr>
        <w:t>Authority</w:t>
      </w:r>
      <w:r w:rsidRPr="00864565">
        <w:rPr>
          <w:sz w:val="24"/>
          <w:szCs w:val="24"/>
        </w:rPr>
        <w:t xml:space="preserve">’s approach to pay dispersion. </w:t>
      </w:r>
    </w:p>
    <w:p w:rsidR="00864565" w:rsidRPr="00864565" w:rsidRDefault="00864565" w:rsidP="00864565">
      <w:pPr>
        <w:pStyle w:val="NoSpacing"/>
        <w:jc w:val="both"/>
        <w:rPr>
          <w:sz w:val="24"/>
          <w:szCs w:val="24"/>
        </w:rPr>
      </w:pPr>
    </w:p>
    <w:p w:rsidR="00864565" w:rsidRDefault="00864565" w:rsidP="004B3CCE">
      <w:pPr>
        <w:pStyle w:val="NoSpacing"/>
        <w:rPr>
          <w:sz w:val="24"/>
          <w:szCs w:val="24"/>
        </w:rPr>
      </w:pPr>
      <w:r w:rsidRPr="00864565">
        <w:rPr>
          <w:sz w:val="24"/>
          <w:szCs w:val="24"/>
        </w:rPr>
        <w:t xml:space="preserve">Openness and accountability in </w:t>
      </w:r>
      <w:r w:rsidR="001A4A5C">
        <w:rPr>
          <w:sz w:val="24"/>
          <w:szCs w:val="24"/>
        </w:rPr>
        <w:t>Local</w:t>
      </w:r>
      <w:r w:rsidRPr="00864565">
        <w:rPr>
          <w:sz w:val="24"/>
          <w:szCs w:val="24"/>
        </w:rPr>
        <w:t xml:space="preserve"> pay: Guidance under Section 40 of the </w:t>
      </w:r>
      <w:r w:rsidR="001A4A5C">
        <w:rPr>
          <w:sz w:val="24"/>
          <w:szCs w:val="24"/>
        </w:rPr>
        <w:t>Local</w:t>
      </w:r>
      <w:r w:rsidRPr="00864565">
        <w:rPr>
          <w:sz w:val="24"/>
          <w:szCs w:val="24"/>
        </w:rPr>
        <w:t xml:space="preserve">ism Act (February 2012), https://www.gov.uk/government/uploads/system/uploads/attachment_data/file/5956/2091042.pdf </w:t>
      </w:r>
    </w:p>
    <w:p w:rsidR="004B3CCE" w:rsidRPr="00864565" w:rsidRDefault="004B3CCE" w:rsidP="004B3CCE">
      <w:pPr>
        <w:pStyle w:val="NoSpacing"/>
        <w:rPr>
          <w:sz w:val="24"/>
          <w:szCs w:val="24"/>
        </w:rPr>
      </w:pPr>
    </w:p>
    <w:p w:rsidR="00864565" w:rsidRPr="00864565" w:rsidRDefault="001A4A5C" w:rsidP="00864565">
      <w:pPr>
        <w:pStyle w:val="NoSpacing"/>
        <w:jc w:val="both"/>
        <w:rPr>
          <w:sz w:val="24"/>
          <w:szCs w:val="24"/>
        </w:rPr>
      </w:pPr>
      <w:r>
        <w:rPr>
          <w:sz w:val="24"/>
          <w:szCs w:val="24"/>
        </w:rPr>
        <w:t>Local</w:t>
      </w:r>
      <w:r w:rsidR="00864565" w:rsidRPr="00864565">
        <w:rPr>
          <w:sz w:val="24"/>
          <w:szCs w:val="24"/>
        </w:rPr>
        <w:t xml:space="preserve"> </w:t>
      </w:r>
      <w:r>
        <w:rPr>
          <w:sz w:val="24"/>
          <w:szCs w:val="24"/>
        </w:rPr>
        <w:t>Authorities</w:t>
      </w:r>
      <w:r w:rsidR="00864565" w:rsidRPr="00864565">
        <w:rPr>
          <w:sz w:val="24"/>
          <w:szCs w:val="24"/>
        </w:rPr>
        <w:t xml:space="preserve"> must, under this Code, publish the pay multiple on their website, defined as the ratio between the highest paid taxable earnings for the given year (including base salary, variable pay, bonuses, allowances and the cash value of any benefits-in-kind) and the median earnings figure of the whole of the </w:t>
      </w:r>
      <w:r>
        <w:rPr>
          <w:sz w:val="24"/>
          <w:szCs w:val="24"/>
        </w:rPr>
        <w:t>Authority</w:t>
      </w:r>
      <w:r w:rsidR="00864565" w:rsidRPr="00864565">
        <w:rPr>
          <w:sz w:val="24"/>
          <w:szCs w:val="24"/>
        </w:rPr>
        <w:t xml:space="preserve">’s workforce. The measure must: </w:t>
      </w:r>
    </w:p>
    <w:p w:rsidR="00864565" w:rsidRPr="00864565" w:rsidRDefault="00864565" w:rsidP="004B3CCE">
      <w:pPr>
        <w:pStyle w:val="NoSpacing"/>
        <w:numPr>
          <w:ilvl w:val="0"/>
          <w:numId w:val="3"/>
        </w:numPr>
        <w:jc w:val="both"/>
        <w:rPr>
          <w:sz w:val="24"/>
          <w:szCs w:val="24"/>
        </w:rPr>
      </w:pPr>
      <w:r w:rsidRPr="00864565">
        <w:rPr>
          <w:sz w:val="24"/>
          <w:szCs w:val="24"/>
        </w:rPr>
        <w:t>cover all elements of remuneration that can be valued (</w:t>
      </w:r>
      <w:proofErr w:type="spellStart"/>
      <w:r w:rsidRPr="00864565">
        <w:rPr>
          <w:sz w:val="24"/>
          <w:szCs w:val="24"/>
        </w:rPr>
        <w:t>eg</w:t>
      </w:r>
      <w:proofErr w:type="spellEnd"/>
      <w:r w:rsidRPr="00864565">
        <w:rPr>
          <w:sz w:val="24"/>
          <w:szCs w:val="24"/>
        </w:rPr>
        <w:t xml:space="preserve">. all taxable earnings for the given year, including base salary, variable pay, bonuses, allowances and the cash value of any benefits-in-kind) </w:t>
      </w:r>
    </w:p>
    <w:p w:rsidR="00864565" w:rsidRPr="00864565" w:rsidRDefault="00864565" w:rsidP="004B3CCE">
      <w:pPr>
        <w:pStyle w:val="NoSpacing"/>
        <w:numPr>
          <w:ilvl w:val="0"/>
          <w:numId w:val="3"/>
        </w:numPr>
        <w:jc w:val="both"/>
        <w:rPr>
          <w:sz w:val="24"/>
          <w:szCs w:val="24"/>
        </w:rPr>
      </w:pPr>
      <w:r w:rsidRPr="00864565">
        <w:rPr>
          <w:sz w:val="24"/>
          <w:szCs w:val="24"/>
        </w:rPr>
        <w:t xml:space="preserve">use the median earnings figure as the denominator, which should be that of all employees of the </w:t>
      </w:r>
      <w:r w:rsidR="001A4A5C">
        <w:rPr>
          <w:sz w:val="24"/>
          <w:szCs w:val="24"/>
        </w:rPr>
        <w:t>Local</w:t>
      </w:r>
      <w:r w:rsidRPr="00864565">
        <w:rPr>
          <w:sz w:val="24"/>
          <w:szCs w:val="24"/>
        </w:rPr>
        <w:t xml:space="preserve"> </w:t>
      </w:r>
      <w:r w:rsidR="001A4A5C">
        <w:rPr>
          <w:sz w:val="24"/>
          <w:szCs w:val="24"/>
        </w:rPr>
        <w:t>Authority</w:t>
      </w:r>
      <w:r w:rsidRPr="00864565">
        <w:rPr>
          <w:sz w:val="24"/>
          <w:szCs w:val="24"/>
        </w:rPr>
        <w:t xml:space="preserve"> on a fixed date each year, coinciding with reporting at the end of the financial year, and </w:t>
      </w:r>
    </w:p>
    <w:p w:rsidR="00864565" w:rsidRPr="00864565" w:rsidRDefault="00864565" w:rsidP="004B3CCE">
      <w:pPr>
        <w:pStyle w:val="NoSpacing"/>
        <w:numPr>
          <w:ilvl w:val="0"/>
          <w:numId w:val="3"/>
        </w:numPr>
        <w:jc w:val="both"/>
        <w:rPr>
          <w:sz w:val="24"/>
          <w:szCs w:val="24"/>
        </w:rPr>
      </w:pPr>
      <w:r w:rsidRPr="00864565">
        <w:rPr>
          <w:sz w:val="24"/>
          <w:szCs w:val="24"/>
        </w:rPr>
        <w:t xml:space="preserve">exclude changes in pension benefits, which due to their variety and complexity cannot be accurately included in a pay multiple disclosure. </w:t>
      </w:r>
    </w:p>
    <w:p w:rsidR="00864565" w:rsidRPr="00864565" w:rsidRDefault="00864565" w:rsidP="00864565">
      <w:pPr>
        <w:pStyle w:val="NoSpacing"/>
        <w:jc w:val="both"/>
        <w:rPr>
          <w:sz w:val="24"/>
          <w:szCs w:val="24"/>
        </w:rPr>
      </w:pPr>
    </w:p>
    <w:p w:rsidR="00864565" w:rsidRPr="00864565" w:rsidRDefault="00864565" w:rsidP="00864565">
      <w:pPr>
        <w:pStyle w:val="NoSpacing"/>
        <w:jc w:val="both"/>
        <w:rPr>
          <w:sz w:val="24"/>
          <w:szCs w:val="24"/>
        </w:rPr>
      </w:pPr>
      <w:r w:rsidRPr="00864565">
        <w:rPr>
          <w:b/>
          <w:bCs/>
          <w:sz w:val="24"/>
          <w:szCs w:val="24"/>
        </w:rPr>
        <w:t xml:space="preserve">Fraud </w:t>
      </w:r>
    </w:p>
    <w:p w:rsidR="00864565" w:rsidRPr="00864565" w:rsidRDefault="00BE3DA9" w:rsidP="00864565">
      <w:pPr>
        <w:pStyle w:val="NoSpacing"/>
        <w:jc w:val="both"/>
        <w:rPr>
          <w:sz w:val="24"/>
          <w:szCs w:val="24"/>
        </w:rPr>
      </w:pPr>
      <w:r w:rsidRPr="00864565">
        <w:rPr>
          <w:sz w:val="24"/>
          <w:szCs w:val="24"/>
        </w:rPr>
        <w:t xml:space="preserve">The definition of fraud is as set out by the Audit Commission in </w:t>
      </w:r>
      <w:r w:rsidRPr="00BE3DA9">
        <w:rPr>
          <w:iCs/>
          <w:sz w:val="24"/>
          <w:szCs w:val="24"/>
        </w:rPr>
        <w:t>Protecting the Public Purse</w:t>
      </w:r>
      <w:r w:rsidRPr="00864565">
        <w:rPr>
          <w:sz w:val="24"/>
          <w:szCs w:val="24"/>
        </w:rPr>
        <w:t xml:space="preserve">. </w:t>
      </w:r>
      <w:r w:rsidR="001A4A5C">
        <w:rPr>
          <w:sz w:val="24"/>
          <w:szCs w:val="24"/>
        </w:rPr>
        <w:t>Local</w:t>
      </w:r>
      <w:r w:rsidR="00864565" w:rsidRPr="00864565">
        <w:rPr>
          <w:sz w:val="24"/>
          <w:szCs w:val="24"/>
        </w:rPr>
        <w:t xml:space="preserve"> </w:t>
      </w:r>
      <w:r w:rsidR="001A4A5C">
        <w:rPr>
          <w:sz w:val="24"/>
          <w:szCs w:val="24"/>
        </w:rPr>
        <w:t>Authorities</w:t>
      </w:r>
      <w:r w:rsidR="00864565" w:rsidRPr="00864565">
        <w:rPr>
          <w:sz w:val="24"/>
          <w:szCs w:val="24"/>
        </w:rPr>
        <w:t xml:space="preserve"> must publish the following information </w:t>
      </w:r>
      <w:r w:rsidR="004B3CCE">
        <w:rPr>
          <w:sz w:val="24"/>
          <w:szCs w:val="24"/>
        </w:rPr>
        <w:t>about their counter fraud work</w:t>
      </w:r>
      <w:r w:rsidR="00864565" w:rsidRPr="00864565">
        <w:rPr>
          <w:sz w:val="24"/>
          <w:szCs w:val="24"/>
        </w:rPr>
        <w:t xml:space="preserve">: </w:t>
      </w:r>
    </w:p>
    <w:p w:rsidR="00864565" w:rsidRPr="00864565" w:rsidRDefault="00864565" w:rsidP="004B3CCE">
      <w:pPr>
        <w:pStyle w:val="NoSpacing"/>
        <w:numPr>
          <w:ilvl w:val="0"/>
          <w:numId w:val="3"/>
        </w:numPr>
        <w:jc w:val="both"/>
        <w:rPr>
          <w:sz w:val="24"/>
          <w:szCs w:val="24"/>
        </w:rPr>
      </w:pPr>
      <w:r w:rsidRPr="00864565">
        <w:rPr>
          <w:sz w:val="24"/>
          <w:szCs w:val="24"/>
        </w:rPr>
        <w:lastRenderedPageBreak/>
        <w:t xml:space="preserve">number of occasions they use powers under the Prevention of Social Housing Fraud (Power to Require Information) (England) Regulations 201432, or similar powers33 </w:t>
      </w:r>
    </w:p>
    <w:p w:rsidR="00864565" w:rsidRPr="00864565" w:rsidRDefault="00864565" w:rsidP="004B3CCE">
      <w:pPr>
        <w:pStyle w:val="NoSpacing"/>
        <w:numPr>
          <w:ilvl w:val="0"/>
          <w:numId w:val="3"/>
        </w:numPr>
        <w:jc w:val="both"/>
        <w:rPr>
          <w:sz w:val="24"/>
          <w:szCs w:val="24"/>
        </w:rPr>
      </w:pPr>
      <w:r w:rsidRPr="00864565">
        <w:rPr>
          <w:sz w:val="24"/>
          <w:szCs w:val="24"/>
        </w:rPr>
        <w:t xml:space="preserve">total number (absolute and full time equivalent) of employees undertaking investigations and prosecutions of fraud </w:t>
      </w:r>
    </w:p>
    <w:p w:rsidR="00864565" w:rsidRPr="00864565" w:rsidRDefault="00864565" w:rsidP="004B3CCE">
      <w:pPr>
        <w:pStyle w:val="NoSpacing"/>
        <w:numPr>
          <w:ilvl w:val="0"/>
          <w:numId w:val="3"/>
        </w:numPr>
        <w:jc w:val="both"/>
        <w:rPr>
          <w:sz w:val="24"/>
          <w:szCs w:val="24"/>
        </w:rPr>
      </w:pPr>
      <w:r w:rsidRPr="00864565">
        <w:rPr>
          <w:sz w:val="24"/>
          <w:szCs w:val="24"/>
        </w:rPr>
        <w:t xml:space="preserve">total number (absolute and full time equivalent) of professionally accredited counter fraud specialists </w:t>
      </w:r>
    </w:p>
    <w:p w:rsidR="00864565" w:rsidRPr="00864565" w:rsidRDefault="00864565" w:rsidP="004B3CCE">
      <w:pPr>
        <w:pStyle w:val="NoSpacing"/>
        <w:numPr>
          <w:ilvl w:val="0"/>
          <w:numId w:val="3"/>
        </w:numPr>
        <w:jc w:val="both"/>
        <w:rPr>
          <w:sz w:val="24"/>
          <w:szCs w:val="24"/>
        </w:rPr>
      </w:pPr>
      <w:r w:rsidRPr="00864565">
        <w:rPr>
          <w:sz w:val="24"/>
          <w:szCs w:val="24"/>
        </w:rPr>
        <w:t xml:space="preserve">total amount spent by the </w:t>
      </w:r>
      <w:r w:rsidR="001A4A5C">
        <w:rPr>
          <w:sz w:val="24"/>
          <w:szCs w:val="24"/>
        </w:rPr>
        <w:t>Authority</w:t>
      </w:r>
      <w:r w:rsidRPr="00864565">
        <w:rPr>
          <w:sz w:val="24"/>
          <w:szCs w:val="24"/>
        </w:rPr>
        <w:t xml:space="preserve"> on the investigation and prosecution of fraud, and </w:t>
      </w:r>
    </w:p>
    <w:p w:rsidR="00864565" w:rsidRPr="00864565" w:rsidRDefault="00864565" w:rsidP="004B3CCE">
      <w:pPr>
        <w:pStyle w:val="NoSpacing"/>
        <w:numPr>
          <w:ilvl w:val="0"/>
          <w:numId w:val="3"/>
        </w:numPr>
        <w:jc w:val="both"/>
        <w:rPr>
          <w:sz w:val="24"/>
          <w:szCs w:val="24"/>
        </w:rPr>
      </w:pPr>
      <w:r w:rsidRPr="00864565">
        <w:rPr>
          <w:sz w:val="24"/>
          <w:szCs w:val="24"/>
        </w:rPr>
        <w:t xml:space="preserve">total number of fraud cases investigated. </w:t>
      </w:r>
    </w:p>
    <w:p w:rsidR="00864565" w:rsidRPr="00864565" w:rsidRDefault="00864565" w:rsidP="00864565">
      <w:pPr>
        <w:pStyle w:val="NoSpacing"/>
        <w:jc w:val="both"/>
        <w:rPr>
          <w:sz w:val="24"/>
          <w:szCs w:val="24"/>
        </w:rPr>
      </w:pPr>
    </w:p>
    <w:p w:rsidR="007969D9" w:rsidRDefault="00967392" w:rsidP="003F0E4A">
      <w:pPr>
        <w:jc w:val="right"/>
        <w:rPr>
          <w:rFonts w:ascii="Calibri" w:hAnsi="Calibri"/>
          <w:b/>
          <w:lang w:bidi="en-US"/>
        </w:rPr>
      </w:pPr>
      <w:bookmarkStart w:id="0" w:name="_GoBack"/>
      <w:bookmarkEnd w:id="0"/>
      <w:r>
        <w:rPr>
          <w:rFonts w:ascii="Calibri" w:hAnsi="Calibri"/>
          <w:b/>
          <w:lang w:bidi="en-US"/>
        </w:rPr>
        <w:t>Last reviewed: March 2022</w:t>
      </w:r>
    </w:p>
    <w:p w:rsidR="00CF2684" w:rsidRDefault="003F0E4A" w:rsidP="00103E23">
      <w:pPr>
        <w:jc w:val="right"/>
        <w:rPr>
          <w:rFonts w:ascii="Calibri" w:hAnsi="Calibri"/>
          <w:b/>
          <w:lang w:bidi="en-US"/>
        </w:rPr>
      </w:pPr>
      <w:r w:rsidRPr="002E473F">
        <w:rPr>
          <w:rFonts w:ascii="Calibri" w:hAnsi="Calibri"/>
          <w:b/>
          <w:lang w:bidi="en-US"/>
        </w:rPr>
        <w:t xml:space="preserve">To be </w:t>
      </w:r>
      <w:r>
        <w:rPr>
          <w:rFonts w:ascii="Calibri" w:hAnsi="Calibri"/>
          <w:b/>
          <w:lang w:bidi="en-US"/>
        </w:rPr>
        <w:t xml:space="preserve">reviewed </w:t>
      </w:r>
      <w:r w:rsidR="00967392">
        <w:rPr>
          <w:rFonts w:ascii="Calibri" w:hAnsi="Calibri"/>
          <w:b/>
          <w:lang w:bidi="en-US"/>
        </w:rPr>
        <w:t>March 2024</w:t>
      </w:r>
    </w:p>
    <w:sectPr w:rsidR="00CF2684" w:rsidSect="001A4A5C">
      <w:footerReference w:type="default" r:id="rId7"/>
      <w:pgSz w:w="11907" w:h="16839" w:code="9"/>
      <w:pgMar w:top="1139" w:right="1417" w:bottom="637"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E3" w:rsidRDefault="00A74BE3" w:rsidP="00181E68">
      <w:r>
        <w:separator/>
      </w:r>
    </w:p>
  </w:endnote>
  <w:endnote w:type="continuationSeparator" w:id="0">
    <w:p w:rsidR="00A74BE3" w:rsidRDefault="00A74BE3"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92471"/>
      <w:docPartObj>
        <w:docPartGallery w:val="Page Numbers (Bottom of Page)"/>
        <w:docPartUnique/>
      </w:docPartObj>
    </w:sdtPr>
    <w:sdtEndPr>
      <w:rPr>
        <w:rFonts w:asciiTheme="minorHAnsi" w:hAnsiTheme="minorHAnsi"/>
        <w:noProof/>
      </w:rPr>
    </w:sdtEndPr>
    <w:sdtContent>
      <w:p w:rsidR="00AE59BB" w:rsidRPr="00AE59BB" w:rsidRDefault="00AE59BB">
        <w:pPr>
          <w:pStyle w:val="Footer"/>
          <w:jc w:val="center"/>
          <w:rPr>
            <w:rFonts w:asciiTheme="minorHAnsi" w:hAnsiTheme="minorHAnsi"/>
          </w:rPr>
        </w:pPr>
        <w:r w:rsidRPr="00AE59BB">
          <w:rPr>
            <w:rFonts w:asciiTheme="minorHAnsi" w:hAnsiTheme="minorHAnsi"/>
          </w:rPr>
          <w:fldChar w:fldCharType="begin"/>
        </w:r>
        <w:r w:rsidRPr="00AE59BB">
          <w:rPr>
            <w:rFonts w:asciiTheme="minorHAnsi" w:hAnsiTheme="minorHAnsi"/>
          </w:rPr>
          <w:instrText xml:space="preserve"> PAGE   \* MERGEFORMAT </w:instrText>
        </w:r>
        <w:r w:rsidRPr="00AE59BB">
          <w:rPr>
            <w:rFonts w:asciiTheme="minorHAnsi" w:hAnsiTheme="minorHAnsi"/>
          </w:rPr>
          <w:fldChar w:fldCharType="separate"/>
        </w:r>
        <w:r w:rsidR="00967392">
          <w:rPr>
            <w:rFonts w:asciiTheme="minorHAnsi" w:hAnsiTheme="minorHAnsi"/>
            <w:noProof/>
          </w:rPr>
          <w:t>6</w:t>
        </w:r>
        <w:r w:rsidRPr="00AE59BB">
          <w:rPr>
            <w:rFonts w:asciiTheme="minorHAnsi" w:hAnsiTheme="minorHAnsi"/>
            <w:noProof/>
          </w:rPr>
          <w:fldChar w:fldCharType="end"/>
        </w:r>
      </w:p>
    </w:sdtContent>
  </w:sdt>
  <w:p w:rsidR="00181E68" w:rsidRDefault="0018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E3" w:rsidRDefault="00A74BE3" w:rsidP="00181E68">
      <w:r>
        <w:separator/>
      </w:r>
    </w:p>
  </w:footnote>
  <w:footnote w:type="continuationSeparator" w:id="0">
    <w:p w:rsidR="00A74BE3" w:rsidRDefault="00A74BE3" w:rsidP="00181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259"/>
    <w:multiLevelType w:val="hybridMultilevel"/>
    <w:tmpl w:val="7F32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C2FAC"/>
    <w:multiLevelType w:val="hybridMultilevel"/>
    <w:tmpl w:val="33A2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27E4"/>
    <w:multiLevelType w:val="hybridMultilevel"/>
    <w:tmpl w:val="E0E41884"/>
    <w:lvl w:ilvl="0" w:tplc="97F62D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569FE"/>
    <w:multiLevelType w:val="hybridMultilevel"/>
    <w:tmpl w:val="22C2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86C55"/>
    <w:multiLevelType w:val="hybridMultilevel"/>
    <w:tmpl w:val="9B62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63724"/>
    <w:multiLevelType w:val="hybridMultilevel"/>
    <w:tmpl w:val="270E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22153"/>
    <w:multiLevelType w:val="hybridMultilevel"/>
    <w:tmpl w:val="2522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9278B"/>
    <w:multiLevelType w:val="hybridMultilevel"/>
    <w:tmpl w:val="92DE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C4DB6"/>
    <w:multiLevelType w:val="hybridMultilevel"/>
    <w:tmpl w:val="1A32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A5D54"/>
    <w:multiLevelType w:val="hybridMultilevel"/>
    <w:tmpl w:val="5B82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67116"/>
    <w:multiLevelType w:val="hybridMultilevel"/>
    <w:tmpl w:val="553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6ACF"/>
    <w:multiLevelType w:val="hybridMultilevel"/>
    <w:tmpl w:val="872C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01828"/>
    <w:multiLevelType w:val="hybridMultilevel"/>
    <w:tmpl w:val="F2E2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9609B"/>
    <w:multiLevelType w:val="hybridMultilevel"/>
    <w:tmpl w:val="CD8E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B182A"/>
    <w:multiLevelType w:val="hybridMultilevel"/>
    <w:tmpl w:val="764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D494F"/>
    <w:multiLevelType w:val="hybridMultilevel"/>
    <w:tmpl w:val="1D98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E4C39"/>
    <w:multiLevelType w:val="hybridMultilevel"/>
    <w:tmpl w:val="B2B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62B01"/>
    <w:multiLevelType w:val="hybridMultilevel"/>
    <w:tmpl w:val="DB2A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D6D06"/>
    <w:multiLevelType w:val="hybridMultilevel"/>
    <w:tmpl w:val="991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64175"/>
    <w:multiLevelType w:val="hybridMultilevel"/>
    <w:tmpl w:val="EA62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E27A1"/>
    <w:multiLevelType w:val="hybridMultilevel"/>
    <w:tmpl w:val="4C3A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D687E"/>
    <w:multiLevelType w:val="hybridMultilevel"/>
    <w:tmpl w:val="0D96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16CE5"/>
    <w:multiLevelType w:val="hybridMultilevel"/>
    <w:tmpl w:val="BA3E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138E0"/>
    <w:multiLevelType w:val="hybridMultilevel"/>
    <w:tmpl w:val="6AFC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F1DE6"/>
    <w:multiLevelType w:val="hybridMultilevel"/>
    <w:tmpl w:val="642E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92006"/>
    <w:multiLevelType w:val="hybridMultilevel"/>
    <w:tmpl w:val="80E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1663D"/>
    <w:multiLevelType w:val="hybridMultilevel"/>
    <w:tmpl w:val="FD54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2059E"/>
    <w:multiLevelType w:val="hybridMultilevel"/>
    <w:tmpl w:val="61B8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5165F"/>
    <w:multiLevelType w:val="hybridMultilevel"/>
    <w:tmpl w:val="E28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A2402"/>
    <w:multiLevelType w:val="hybridMultilevel"/>
    <w:tmpl w:val="356A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A1838"/>
    <w:multiLevelType w:val="hybridMultilevel"/>
    <w:tmpl w:val="81A0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0"/>
  </w:num>
  <w:num w:numId="4">
    <w:abstractNumId w:val="15"/>
  </w:num>
  <w:num w:numId="5">
    <w:abstractNumId w:val="7"/>
  </w:num>
  <w:num w:numId="6">
    <w:abstractNumId w:val="1"/>
  </w:num>
  <w:num w:numId="7">
    <w:abstractNumId w:val="0"/>
  </w:num>
  <w:num w:numId="8">
    <w:abstractNumId w:val="27"/>
  </w:num>
  <w:num w:numId="9">
    <w:abstractNumId w:val="21"/>
  </w:num>
  <w:num w:numId="10">
    <w:abstractNumId w:val="9"/>
  </w:num>
  <w:num w:numId="11">
    <w:abstractNumId w:val="28"/>
  </w:num>
  <w:num w:numId="12">
    <w:abstractNumId w:val="22"/>
  </w:num>
  <w:num w:numId="13">
    <w:abstractNumId w:val="29"/>
  </w:num>
  <w:num w:numId="14">
    <w:abstractNumId w:val="12"/>
  </w:num>
  <w:num w:numId="15">
    <w:abstractNumId w:val="11"/>
  </w:num>
  <w:num w:numId="16">
    <w:abstractNumId w:val="6"/>
  </w:num>
  <w:num w:numId="17">
    <w:abstractNumId w:val="25"/>
  </w:num>
  <w:num w:numId="18">
    <w:abstractNumId w:val="10"/>
  </w:num>
  <w:num w:numId="19">
    <w:abstractNumId w:val="26"/>
  </w:num>
  <w:num w:numId="20">
    <w:abstractNumId w:val="19"/>
  </w:num>
  <w:num w:numId="21">
    <w:abstractNumId w:val="30"/>
  </w:num>
  <w:num w:numId="22">
    <w:abstractNumId w:val="17"/>
  </w:num>
  <w:num w:numId="23">
    <w:abstractNumId w:val="3"/>
  </w:num>
  <w:num w:numId="24">
    <w:abstractNumId w:val="23"/>
  </w:num>
  <w:num w:numId="25">
    <w:abstractNumId w:val="8"/>
  </w:num>
  <w:num w:numId="26">
    <w:abstractNumId w:val="18"/>
  </w:num>
  <w:num w:numId="27">
    <w:abstractNumId w:val="16"/>
  </w:num>
  <w:num w:numId="28">
    <w:abstractNumId w:val="14"/>
  </w:num>
  <w:num w:numId="29">
    <w:abstractNumId w:val="13"/>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65"/>
    <w:rsid w:val="000415A0"/>
    <w:rsid w:val="00103E23"/>
    <w:rsid w:val="0015066C"/>
    <w:rsid w:val="00181E68"/>
    <w:rsid w:val="001A4A5C"/>
    <w:rsid w:val="002D6CC8"/>
    <w:rsid w:val="0030217B"/>
    <w:rsid w:val="00323413"/>
    <w:rsid w:val="003E67CB"/>
    <w:rsid w:val="003F0E4A"/>
    <w:rsid w:val="00411CAB"/>
    <w:rsid w:val="00490860"/>
    <w:rsid w:val="004B3CCE"/>
    <w:rsid w:val="004B57C3"/>
    <w:rsid w:val="004C4BE8"/>
    <w:rsid w:val="005B661F"/>
    <w:rsid w:val="006D0793"/>
    <w:rsid w:val="00763DDD"/>
    <w:rsid w:val="007969D9"/>
    <w:rsid w:val="0085465D"/>
    <w:rsid w:val="00864565"/>
    <w:rsid w:val="0088075D"/>
    <w:rsid w:val="00891F09"/>
    <w:rsid w:val="00965214"/>
    <w:rsid w:val="00967392"/>
    <w:rsid w:val="00A74BE3"/>
    <w:rsid w:val="00AE54DD"/>
    <w:rsid w:val="00AE59BB"/>
    <w:rsid w:val="00B417CC"/>
    <w:rsid w:val="00BA4D06"/>
    <w:rsid w:val="00BE3DA9"/>
    <w:rsid w:val="00D266E8"/>
    <w:rsid w:val="00E76C6E"/>
    <w:rsid w:val="00E874CD"/>
    <w:rsid w:val="00F9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8A0866-297D-4368-ADD7-DC5465C5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E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56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64565"/>
    <w:pPr>
      <w:spacing w:after="0" w:line="240" w:lineRule="auto"/>
    </w:pPr>
  </w:style>
  <w:style w:type="paragraph" w:styleId="Subtitle">
    <w:name w:val="Subtitle"/>
    <w:basedOn w:val="Normal"/>
    <w:link w:val="SubtitleChar"/>
    <w:qFormat/>
    <w:rsid w:val="003F0E4A"/>
    <w:pPr>
      <w:jc w:val="center"/>
    </w:pPr>
    <w:rPr>
      <w:b/>
      <w:bCs/>
    </w:rPr>
  </w:style>
  <w:style w:type="character" w:customStyle="1" w:styleId="SubtitleChar">
    <w:name w:val="Subtitle Char"/>
    <w:basedOn w:val="DefaultParagraphFont"/>
    <w:link w:val="Subtitle"/>
    <w:rsid w:val="003F0E4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81E68"/>
    <w:pPr>
      <w:tabs>
        <w:tab w:val="center" w:pos="4513"/>
        <w:tab w:val="right" w:pos="9026"/>
      </w:tabs>
    </w:pPr>
  </w:style>
  <w:style w:type="character" w:customStyle="1" w:styleId="HeaderChar">
    <w:name w:val="Header Char"/>
    <w:basedOn w:val="DefaultParagraphFont"/>
    <w:link w:val="Header"/>
    <w:uiPriority w:val="99"/>
    <w:rsid w:val="00181E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E68"/>
    <w:pPr>
      <w:tabs>
        <w:tab w:val="center" w:pos="4513"/>
        <w:tab w:val="right" w:pos="9026"/>
      </w:tabs>
    </w:pPr>
  </w:style>
  <w:style w:type="character" w:customStyle="1" w:styleId="FooterChar">
    <w:name w:val="Footer Char"/>
    <w:basedOn w:val="DefaultParagraphFont"/>
    <w:link w:val="Footer"/>
    <w:uiPriority w:val="99"/>
    <w:rsid w:val="00181E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D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22</cp:revision>
  <cp:lastPrinted>2015-02-13T09:59:00Z</cp:lastPrinted>
  <dcterms:created xsi:type="dcterms:W3CDTF">2015-02-11T11:29:00Z</dcterms:created>
  <dcterms:modified xsi:type="dcterms:W3CDTF">2022-04-05T10:24:00Z</dcterms:modified>
</cp:coreProperties>
</file>